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50F9" w14:textId="5A016D28" w:rsidR="00964CF5" w:rsidRDefault="00964CF5" w:rsidP="00964CF5">
      <w:pPr>
        <w:spacing w:before="40" w:after="40"/>
        <w:jc w:val="both"/>
        <w:rPr>
          <w:rFonts w:ascii="DINPro" w:hAnsi="DINPro" w:cs="DINPro"/>
          <w:sz w:val="21"/>
          <w:szCs w:val="21"/>
        </w:rPr>
      </w:pPr>
    </w:p>
    <w:p w14:paraId="03C5720C" w14:textId="48B4FA05" w:rsidR="000E55C3" w:rsidRDefault="000E55C3" w:rsidP="00964CF5">
      <w:pPr>
        <w:spacing w:before="40" w:after="40"/>
        <w:jc w:val="both"/>
        <w:rPr>
          <w:rFonts w:ascii="DINPro" w:hAnsi="DINPro" w:cs="DINPro"/>
          <w:sz w:val="21"/>
          <w:szCs w:val="21"/>
        </w:rPr>
      </w:pPr>
    </w:p>
    <w:p w14:paraId="61E86C7A" w14:textId="49179516" w:rsidR="000E55C3" w:rsidRPr="004D6878" w:rsidRDefault="00714D2F" w:rsidP="00714D2F">
      <w:pPr>
        <w:spacing w:before="40" w:after="40"/>
        <w:jc w:val="center"/>
        <w:rPr>
          <w:rFonts w:ascii="DINPro" w:hAnsi="DINPro" w:cs="DINPro"/>
          <w:sz w:val="21"/>
          <w:szCs w:val="21"/>
        </w:rPr>
      </w:pPr>
      <w:r w:rsidRPr="004D6878">
        <w:rPr>
          <w:noProof/>
        </w:rPr>
        <w:drawing>
          <wp:inline distT="0" distB="0" distL="0" distR="0" wp14:anchorId="561CBDE2" wp14:editId="712B7E6F">
            <wp:extent cx="1206500" cy="112977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80" cy="11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D4F1" w14:textId="77777777" w:rsidR="00964CF5" w:rsidRPr="004D6878" w:rsidRDefault="00964CF5" w:rsidP="00964CF5">
      <w:pPr>
        <w:pStyle w:val="Cmsor4"/>
        <w:keepNext w:val="0"/>
        <w:numPr>
          <w:ilvl w:val="0"/>
          <w:numId w:val="0"/>
        </w:numPr>
        <w:spacing w:line="300" w:lineRule="exact"/>
        <w:rPr>
          <w:rFonts w:ascii="DINPro" w:hAnsi="DINPro" w:cs="DINPro"/>
          <w:b w:val="0"/>
          <w:sz w:val="22"/>
          <w:szCs w:val="22"/>
        </w:rPr>
      </w:pPr>
    </w:p>
    <w:p w14:paraId="506BF5AA" w14:textId="7B3187F1" w:rsidR="00964CF5" w:rsidRPr="004D6878" w:rsidRDefault="00964CF5" w:rsidP="00964CF5">
      <w:pPr>
        <w:pStyle w:val="Cmsor4"/>
        <w:keepNext w:val="0"/>
        <w:numPr>
          <w:ilvl w:val="0"/>
          <w:numId w:val="0"/>
        </w:numPr>
        <w:spacing w:line="300" w:lineRule="exact"/>
        <w:rPr>
          <w:rFonts w:ascii="DINPro" w:hAnsi="DINPro" w:cs="DINPro"/>
          <w:b w:val="0"/>
          <w:sz w:val="22"/>
          <w:szCs w:val="22"/>
        </w:rPr>
      </w:pPr>
      <w:r w:rsidRPr="004D6878">
        <w:rPr>
          <w:rFonts w:ascii="DINPro" w:hAnsi="DINPro" w:cs="DINPro"/>
          <w:b w:val="0"/>
          <w:sz w:val="22"/>
          <w:szCs w:val="22"/>
        </w:rPr>
        <w:t>Verseny</w:t>
      </w:r>
      <w:r w:rsidR="00A40EC6" w:rsidRPr="004D6878">
        <w:rPr>
          <w:rFonts w:ascii="DINPro" w:hAnsi="DINPro" w:cs="DINPro"/>
          <w:b w:val="0"/>
          <w:sz w:val="22"/>
          <w:szCs w:val="22"/>
        </w:rPr>
        <w:t xml:space="preserve"> </w:t>
      </w:r>
      <w:r w:rsidR="007739F4" w:rsidRPr="004D6878">
        <w:rPr>
          <w:rFonts w:ascii="DINPro" w:hAnsi="DINPro" w:cs="DINPro"/>
          <w:b w:val="0"/>
          <w:sz w:val="22"/>
          <w:szCs w:val="22"/>
        </w:rPr>
        <w:t>4</w:t>
      </w:r>
      <w:r w:rsidR="00C951A4" w:rsidRPr="004D6878">
        <w:rPr>
          <w:rFonts w:ascii="DINPro" w:hAnsi="DINPro" w:cs="DINPro"/>
          <w:b w:val="0"/>
          <w:sz w:val="22"/>
          <w:szCs w:val="22"/>
        </w:rPr>
        <w:t>3</w:t>
      </w:r>
      <w:r w:rsidR="007739F4" w:rsidRPr="004D6878">
        <w:rPr>
          <w:rFonts w:ascii="DINPro" w:hAnsi="DINPro" w:cs="DINPro"/>
          <w:b w:val="0"/>
          <w:sz w:val="22"/>
          <w:szCs w:val="22"/>
        </w:rPr>
        <w:t xml:space="preserve">. </w:t>
      </w:r>
      <w:r w:rsidR="00A40EC6" w:rsidRPr="004D6878">
        <w:rPr>
          <w:rFonts w:ascii="DINPro" w:hAnsi="DINPro" w:cs="DINPro"/>
          <w:b w:val="0"/>
          <w:sz w:val="22"/>
          <w:szCs w:val="22"/>
        </w:rPr>
        <w:t>Csillagtúra</w:t>
      </w:r>
    </w:p>
    <w:p w14:paraId="6781DA1B" w14:textId="0B95EAB3" w:rsidR="00964CF5" w:rsidRPr="004D6878" w:rsidRDefault="00964CF5" w:rsidP="00964CF5">
      <w:pPr>
        <w:pStyle w:val="Cmsor4"/>
        <w:keepNext w:val="0"/>
        <w:numPr>
          <w:ilvl w:val="0"/>
          <w:numId w:val="0"/>
        </w:numPr>
        <w:spacing w:line="300" w:lineRule="exact"/>
        <w:rPr>
          <w:rFonts w:ascii="DINPro" w:hAnsi="DINPro" w:cs="DINPro"/>
          <w:b w:val="0"/>
          <w:sz w:val="22"/>
          <w:szCs w:val="22"/>
        </w:rPr>
      </w:pPr>
      <w:r w:rsidRPr="004D6878">
        <w:rPr>
          <w:rFonts w:ascii="DINPro" w:hAnsi="DINPro" w:cs="DINPro"/>
          <w:b w:val="0"/>
          <w:sz w:val="22"/>
          <w:szCs w:val="22"/>
        </w:rPr>
        <w:t xml:space="preserve">VERSENY </w:t>
      </w:r>
      <w:r w:rsidR="00A40EC6" w:rsidRPr="004D6878">
        <w:rPr>
          <w:rFonts w:ascii="DINPro" w:hAnsi="DINPro" w:cs="DINPro"/>
          <w:b w:val="0"/>
          <w:sz w:val="22"/>
          <w:szCs w:val="22"/>
        </w:rPr>
        <w:t>Balatonfüred</w:t>
      </w:r>
      <w:r w:rsidRPr="004D6878">
        <w:rPr>
          <w:rFonts w:ascii="DINPro" w:hAnsi="DINPro" w:cs="DINPro"/>
          <w:b w:val="0"/>
          <w:sz w:val="22"/>
          <w:szCs w:val="22"/>
        </w:rPr>
        <w:t xml:space="preserve">, </w:t>
      </w:r>
      <w:r w:rsidR="00C951A4" w:rsidRPr="004D6878">
        <w:rPr>
          <w:rFonts w:ascii="DINPro" w:hAnsi="DINPro" w:cs="DINPro"/>
          <w:b w:val="0"/>
          <w:bCs w:val="0"/>
          <w:sz w:val="22"/>
          <w:szCs w:val="22"/>
        </w:rPr>
        <w:t>2024. június 2</w:t>
      </w:r>
      <w:r w:rsidR="00C24F39" w:rsidRPr="004D6878">
        <w:rPr>
          <w:rFonts w:ascii="DINPro" w:hAnsi="DINPro" w:cs="DINPro"/>
          <w:b w:val="0"/>
          <w:bCs w:val="0"/>
          <w:sz w:val="22"/>
          <w:szCs w:val="22"/>
        </w:rPr>
        <w:t>9</w:t>
      </w:r>
      <w:r w:rsidR="00C951A4" w:rsidRPr="004D6878">
        <w:rPr>
          <w:rFonts w:ascii="DINPro" w:hAnsi="DINPro" w:cs="DINPro"/>
          <w:b w:val="0"/>
          <w:bCs w:val="0"/>
          <w:sz w:val="22"/>
          <w:szCs w:val="22"/>
        </w:rPr>
        <w:t>-</w:t>
      </w:r>
      <w:r w:rsidR="00C24F39" w:rsidRPr="004D6878">
        <w:rPr>
          <w:rFonts w:ascii="DINPro" w:hAnsi="DINPro" w:cs="DINPro"/>
          <w:b w:val="0"/>
          <w:bCs w:val="0"/>
          <w:sz w:val="22"/>
          <w:szCs w:val="22"/>
        </w:rPr>
        <w:t>30</w:t>
      </w:r>
      <w:r w:rsidR="00540561" w:rsidRPr="004D6878">
        <w:rPr>
          <w:rFonts w:ascii="DINPro" w:hAnsi="DINPro" w:cs="DINPro"/>
          <w:b w:val="0"/>
          <w:sz w:val="22"/>
          <w:szCs w:val="22"/>
        </w:rPr>
        <w:t>.</w:t>
      </w:r>
    </w:p>
    <w:p w14:paraId="7B992D21" w14:textId="61883701" w:rsidR="00964CF5" w:rsidRPr="004D6878" w:rsidRDefault="00964CF5" w:rsidP="00964CF5">
      <w:pPr>
        <w:pStyle w:val="Cmsor4"/>
        <w:keepNext w:val="0"/>
        <w:numPr>
          <w:ilvl w:val="0"/>
          <w:numId w:val="0"/>
        </w:numPr>
        <w:spacing w:line="300" w:lineRule="exact"/>
        <w:rPr>
          <w:rFonts w:ascii="DINPro" w:hAnsi="DINPro" w:cs="DINPro"/>
          <w:b w:val="0"/>
          <w:sz w:val="22"/>
          <w:szCs w:val="22"/>
          <w:shd w:val="clear" w:color="auto" w:fill="FFFFFF"/>
        </w:rPr>
      </w:pPr>
      <w:r w:rsidRPr="004D6878">
        <w:rPr>
          <w:rFonts w:ascii="DINPro" w:hAnsi="DINPro" w:cs="DINPro"/>
          <w:b w:val="0"/>
          <w:sz w:val="22"/>
          <w:szCs w:val="22"/>
        </w:rPr>
        <w:t xml:space="preserve">Rendező szervezet: </w:t>
      </w:r>
      <w:r w:rsidR="00A40EC6" w:rsidRPr="004D6878">
        <w:rPr>
          <w:rFonts w:ascii="DINPro" w:hAnsi="DINPro" w:cs="DINPro"/>
          <w:b w:val="0"/>
          <w:sz w:val="22"/>
          <w:szCs w:val="22"/>
        </w:rPr>
        <w:t>V</w:t>
      </w:r>
      <w:r w:rsidR="00832C24" w:rsidRPr="004D6878">
        <w:rPr>
          <w:rFonts w:ascii="DINPro" w:hAnsi="DINPro" w:cs="DINPro"/>
          <w:b w:val="0"/>
          <w:sz w:val="22"/>
          <w:szCs w:val="22"/>
        </w:rPr>
        <w:t>ILATI SE</w:t>
      </w:r>
    </w:p>
    <w:p w14:paraId="3E654FE9" w14:textId="77777777" w:rsidR="00964CF5" w:rsidRPr="004D6878" w:rsidRDefault="00964CF5" w:rsidP="00964CF5">
      <w:pPr>
        <w:pStyle w:val="Cmsor4"/>
        <w:keepNext w:val="0"/>
        <w:numPr>
          <w:ilvl w:val="0"/>
          <w:numId w:val="0"/>
        </w:numPr>
        <w:spacing w:before="360" w:line="300" w:lineRule="exact"/>
        <w:rPr>
          <w:rFonts w:ascii="DINPro" w:hAnsi="DINPro" w:cs="DINPro"/>
          <w:color w:val="FF9900"/>
          <w:szCs w:val="22"/>
        </w:rPr>
      </w:pPr>
      <w:r w:rsidRPr="004D6878">
        <w:rPr>
          <w:rFonts w:ascii="DINPro" w:hAnsi="DINPro" w:cs="DINPro"/>
          <w:color w:val="FF9900"/>
          <w:szCs w:val="22"/>
        </w:rPr>
        <w:t>VERSENYKIÍRÁS</w:t>
      </w:r>
    </w:p>
    <w:p w14:paraId="4FB78079" w14:textId="77777777" w:rsidR="00964CF5" w:rsidRPr="004D6878" w:rsidRDefault="00964CF5" w:rsidP="00964CF5">
      <w:pPr>
        <w:spacing w:before="240" w:after="240"/>
        <w:jc w:val="both"/>
        <w:rPr>
          <w:rFonts w:ascii="DINPro" w:hAnsi="DINPro" w:cs="DINPro"/>
          <w:b/>
          <w:color w:val="FF9900"/>
          <w:sz w:val="21"/>
          <w:szCs w:val="21"/>
        </w:rPr>
      </w:pPr>
      <w:r w:rsidRPr="004D6878">
        <w:rPr>
          <w:rFonts w:ascii="DINPro" w:hAnsi="DINPro" w:cs="DINPro"/>
          <w:b/>
          <w:color w:val="FF9900"/>
          <w:sz w:val="21"/>
          <w:szCs w:val="21"/>
        </w:rPr>
        <w:t>RÖVIDÍTÉSEK</w:t>
      </w:r>
    </w:p>
    <w:p w14:paraId="4DC89233" w14:textId="77777777" w:rsidR="00964CF5" w:rsidRPr="004D6878" w:rsidRDefault="00964CF5" w:rsidP="00964CF5">
      <w:pPr>
        <w:spacing w:before="40" w:after="40"/>
        <w:jc w:val="both"/>
        <w:rPr>
          <w:rFonts w:ascii="DINPro" w:hAnsi="DINPro" w:cs="DINPro"/>
          <w:sz w:val="21"/>
          <w:szCs w:val="21"/>
        </w:rPr>
      </w:pPr>
      <w:r w:rsidRPr="004D6878">
        <w:rPr>
          <w:rFonts w:ascii="DINPro" w:hAnsi="DINPro" w:cs="DINPro"/>
          <w:sz w:val="21"/>
          <w:szCs w:val="21"/>
        </w:rPr>
        <w:t>[NP] A szabály megsértése nem képezheti egy hajó általi óvás alapját. Ez módosítja az RRS 60.1(a) szabályt.</w:t>
      </w:r>
    </w:p>
    <w:p w14:paraId="1115095B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SZABÁLYOK</w:t>
      </w:r>
    </w:p>
    <w:p w14:paraId="6F14B336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versenyen az alábbi szabályok érvényesek, melyek elérhetők a Magyar Vitorlás Szövetség hivatalos honlapján:</w:t>
      </w:r>
    </w:p>
    <w:p w14:paraId="082BFF94" w14:textId="77777777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>A vitorlázás versenyszabályai 2021-2024. évekre (továbbiakban RRS), kiegészítve az MVSZ előírásaival.</w:t>
      </w:r>
    </w:p>
    <w:p w14:paraId="1AF8860B" w14:textId="1643805B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>A Magyar Vitorlás Szövetség</w:t>
      </w:r>
      <w:r w:rsidR="00533383"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="00540561" w:rsidRPr="004D6878">
        <w:rPr>
          <w:rFonts w:ascii="DINPro" w:hAnsi="DINPro" w:cs="DINPro"/>
          <w:color w:val="auto"/>
          <w:sz w:val="21"/>
          <w:szCs w:val="21"/>
        </w:rPr>
        <w:t>202</w:t>
      </w:r>
      <w:r w:rsidR="00982861" w:rsidRPr="004D6878">
        <w:rPr>
          <w:rFonts w:ascii="DINPro" w:hAnsi="DINPro" w:cs="DINPro"/>
          <w:color w:val="auto"/>
          <w:sz w:val="21"/>
          <w:szCs w:val="21"/>
        </w:rPr>
        <w:t>4</w:t>
      </w:r>
      <w:r w:rsidR="00540561"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Pr="004D6878">
        <w:rPr>
          <w:rFonts w:ascii="DINPro" w:hAnsi="DINPro" w:cs="DINPro"/>
          <w:color w:val="auto"/>
          <w:sz w:val="21"/>
          <w:szCs w:val="21"/>
        </w:rPr>
        <w:t>évre érvényes Versenyrendelkezései (továbbiakban</w:t>
      </w:r>
      <w:r w:rsidR="00E3050C"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Pr="004D6878">
        <w:rPr>
          <w:rFonts w:ascii="DINPro" w:hAnsi="DINPro" w:cs="DINPro"/>
          <w:color w:val="auto"/>
          <w:sz w:val="21"/>
          <w:szCs w:val="21"/>
        </w:rPr>
        <w:t>VR) és Reklámszabályzata.</w:t>
      </w:r>
    </w:p>
    <w:p w14:paraId="4B3B0D17" w14:textId="77777777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>Az osztályszabályok. [DP]</w:t>
      </w:r>
    </w:p>
    <w:p w14:paraId="337214EE" w14:textId="77777777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ORC előnyszámítási előírások, illetve a Dinamikus </w:t>
      </w:r>
      <w:proofErr w:type="spellStart"/>
      <w:r w:rsidRPr="004D6878">
        <w:rPr>
          <w:rFonts w:ascii="DINPro" w:hAnsi="DINPro" w:cs="DINPro"/>
          <w:color w:val="auto"/>
          <w:sz w:val="21"/>
          <w:szCs w:val="21"/>
        </w:rPr>
        <w:t>Yardstick</w:t>
      </w:r>
      <w:proofErr w:type="spellEnd"/>
      <w:r w:rsidRPr="004D6878">
        <w:rPr>
          <w:rFonts w:ascii="DINPro" w:hAnsi="DINPro" w:cs="DINPro"/>
          <w:color w:val="auto"/>
          <w:sz w:val="21"/>
          <w:szCs w:val="21"/>
        </w:rPr>
        <w:t xml:space="preserve"> Előnyszámadási Szabályzat.</w:t>
      </w:r>
    </w:p>
    <w:p w14:paraId="3A99C5AE" w14:textId="77777777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57/2011. (XI. 22.) NFM rendelet a víziközlekedés rendjéről, kötelező felszerelések szakasz, </w:t>
      </w:r>
      <w:r w:rsidRPr="004D6878">
        <w:rPr>
          <w:rFonts w:ascii="DINPro" w:hAnsi="DINPro" w:cs="DINPro"/>
          <w:color w:val="auto"/>
          <w:sz w:val="21"/>
          <w:szCs w:val="21"/>
        </w:rPr>
        <w:br/>
        <w:t>II. Kedvtelési célú kishajók felszerelése szakasz. [DP]</w:t>
      </w:r>
    </w:p>
    <w:p w14:paraId="3841682C" w14:textId="6C54B7D1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Jelen versenykiírás és a későbbiekben kiadásra kerülő versenyutasítás, mely elérhető a </w:t>
      </w:r>
      <w:bookmarkStart w:id="0" w:name="_Hlk150946737"/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  <w:fldChar w:fldCharType="begin"/>
      </w:r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  <w:instrText>HYPERLINK "https://mvszhirdetotabla.hu/43-csillagtura-202"</w:instrText>
      </w:r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</w:r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  <w:fldChar w:fldCharType="separate"/>
      </w:r>
      <w:r w:rsidR="00982861" w:rsidRPr="004D6878">
        <w:rPr>
          <w:rStyle w:val="Hiperhivatkozs"/>
          <w:rFonts w:ascii="Source Sans Pro" w:hAnsi="Source Sans Pro"/>
          <w:sz w:val="21"/>
          <w:szCs w:val="21"/>
          <w:shd w:val="clear" w:color="auto" w:fill="FFFFFF"/>
        </w:rPr>
        <w:t>https://mvszhirdetotabla.hu/43-csillagtura-202</w:t>
      </w:r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  <w:fldChar w:fldCharType="end"/>
      </w:r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  <w:t>4</w:t>
      </w:r>
      <w:r w:rsidR="005604D6" w:rsidRPr="004D6878">
        <w:t xml:space="preserve"> </w:t>
      </w:r>
      <w:bookmarkEnd w:id="0"/>
      <w:r w:rsidRPr="004D6878">
        <w:rPr>
          <w:rFonts w:ascii="DINPro" w:hAnsi="DINPro" w:cs="DINPro"/>
          <w:color w:val="auto"/>
          <w:sz w:val="21"/>
          <w:szCs w:val="21"/>
        </w:rPr>
        <w:t>-n és az online hirdetőtáblán keresztül.</w:t>
      </w:r>
    </w:p>
    <w:p w14:paraId="40463028" w14:textId="77777777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>Az RRS 63.7 szabály a következőre módosul: „Ha különböző szabályok között ellentmondás van, az óvási bizottságnak olyan módon kell feloldania az ellentmondást, amiről úgy gondolja, hogy a legméltányosabb eredményt nyújtja az összes érintett hajó számára.”</w:t>
      </w:r>
    </w:p>
    <w:p w14:paraId="5FB25601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VERSENYUTASÍTÁS</w:t>
      </w:r>
    </w:p>
    <w:p w14:paraId="59A896AE" w14:textId="1351F907" w:rsidR="00634F50" w:rsidRPr="004D6878" w:rsidRDefault="00964CF5" w:rsidP="000E458B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versenyutasítás</w:t>
      </w:r>
      <w:r w:rsidR="00533383" w:rsidRPr="004D6878">
        <w:rPr>
          <w:sz w:val="21"/>
          <w:szCs w:val="21"/>
        </w:rPr>
        <w:t xml:space="preserve"> </w:t>
      </w:r>
      <w:r w:rsidR="00540561" w:rsidRPr="004D6878">
        <w:rPr>
          <w:sz w:val="21"/>
          <w:szCs w:val="21"/>
        </w:rPr>
        <w:t>202</w:t>
      </w:r>
      <w:r w:rsidR="00982861" w:rsidRPr="004D6878">
        <w:rPr>
          <w:sz w:val="21"/>
          <w:szCs w:val="21"/>
        </w:rPr>
        <w:t>4</w:t>
      </w:r>
      <w:r w:rsidR="00540561" w:rsidRPr="004D6878">
        <w:rPr>
          <w:sz w:val="21"/>
          <w:szCs w:val="21"/>
        </w:rPr>
        <w:t>. június 1</w:t>
      </w:r>
      <w:r w:rsidR="00982861" w:rsidRPr="004D6878">
        <w:rPr>
          <w:sz w:val="21"/>
          <w:szCs w:val="21"/>
        </w:rPr>
        <w:t>4</w:t>
      </w:r>
      <w:r w:rsidR="00540561" w:rsidRPr="004D6878">
        <w:rPr>
          <w:sz w:val="21"/>
          <w:szCs w:val="21"/>
        </w:rPr>
        <w:t xml:space="preserve">-től </w:t>
      </w:r>
      <w:r w:rsidRPr="004D6878">
        <w:rPr>
          <w:sz w:val="21"/>
          <w:szCs w:val="21"/>
        </w:rPr>
        <w:t>elérhe</w:t>
      </w:r>
      <w:r w:rsidR="00310564" w:rsidRPr="004D6878">
        <w:rPr>
          <w:sz w:val="21"/>
          <w:szCs w:val="21"/>
        </w:rPr>
        <w:t>tő</w:t>
      </w:r>
      <w:r w:rsidRPr="004D6878">
        <w:rPr>
          <w:sz w:val="21"/>
          <w:szCs w:val="21"/>
        </w:rPr>
        <w:t>, a versenyhez tartozó online hirdetőtáblán</w:t>
      </w:r>
      <w:r w:rsidR="000E458B" w:rsidRPr="004D6878">
        <w:rPr>
          <w:sz w:val="21"/>
          <w:szCs w:val="21"/>
        </w:rPr>
        <w:t xml:space="preserve"> </w:t>
      </w:r>
      <w:hyperlink r:id="rId9" w:history="1">
        <w:r w:rsidR="00982861" w:rsidRPr="004D6878">
          <w:rPr>
            <w:rStyle w:val="Hiperhivatkozs"/>
            <w:rFonts w:ascii="Source Sans Pro" w:hAnsi="Source Sans Pro"/>
            <w:sz w:val="21"/>
            <w:szCs w:val="21"/>
            <w:shd w:val="clear" w:color="auto" w:fill="FFFFFF"/>
          </w:rPr>
          <w:t>https://mvszhirdetotabla.hu/43-csillagtura-202</w:t>
        </w:r>
      </w:hyperlink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  <w:t>4</w:t>
      </w:r>
    </w:p>
    <w:p w14:paraId="579A5EA5" w14:textId="23E314FB" w:rsidR="00964CF5" w:rsidRPr="004D6878" w:rsidRDefault="00964CF5" w:rsidP="00634F50">
      <w:pPr>
        <w:pStyle w:val="Cmsor2"/>
        <w:numPr>
          <w:ilvl w:val="0"/>
          <w:numId w:val="0"/>
        </w:numPr>
        <w:ind w:left="576"/>
        <w:rPr>
          <w:sz w:val="21"/>
          <w:szCs w:val="21"/>
        </w:rPr>
      </w:pPr>
      <w:r w:rsidRPr="004D6878">
        <w:rPr>
          <w:sz w:val="21"/>
          <w:szCs w:val="21"/>
        </w:rPr>
        <w:t>illetve a nevezés ideje alatt a nevezés helyszínén nyomtatott példányban kérhető.</w:t>
      </w:r>
    </w:p>
    <w:p w14:paraId="582DCA90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VERSENYZŐK TÁJÉKOZTATÁSA, PARTI JELZÉSEK</w:t>
      </w:r>
    </w:p>
    <w:p w14:paraId="6FC0E25B" w14:textId="7E42E991" w:rsidR="00964CF5" w:rsidRPr="004D6878" w:rsidRDefault="00964CF5" w:rsidP="00964CF5">
      <w:pPr>
        <w:pStyle w:val="Cmsor2"/>
        <w:rPr>
          <w:rFonts w:ascii="Source Sans Pro" w:hAnsi="Source Sans Pro" w:cs="Times New Roman"/>
          <w:color w:val="72AFD2"/>
          <w:sz w:val="21"/>
          <w:szCs w:val="21"/>
          <w:u w:val="single"/>
          <w:shd w:val="clear" w:color="auto" w:fill="FFFFFF"/>
        </w:rPr>
      </w:pPr>
      <w:r w:rsidRPr="004D6878">
        <w:rPr>
          <w:sz w:val="21"/>
          <w:szCs w:val="21"/>
        </w:rPr>
        <w:t>A versenyrendezőség a versenyzőket online hirdetőtáblán tájékoztatja, mely elérhető az alábbi linken:</w:t>
      </w:r>
      <w:r w:rsidRPr="004D6878">
        <w:rPr>
          <w:sz w:val="21"/>
          <w:szCs w:val="21"/>
        </w:rPr>
        <w:br/>
      </w:r>
      <w:hyperlink r:id="rId10" w:history="1">
        <w:r w:rsidR="00982861" w:rsidRPr="004D6878">
          <w:rPr>
            <w:rStyle w:val="Hiperhivatkozs"/>
            <w:rFonts w:ascii="Source Sans Pro" w:hAnsi="Source Sans Pro"/>
            <w:sz w:val="21"/>
            <w:szCs w:val="21"/>
            <w:shd w:val="clear" w:color="auto" w:fill="FFFFFF"/>
          </w:rPr>
          <w:t>https://mvszhirdetotabla.hu/43-csillagtura-202</w:t>
        </w:r>
      </w:hyperlink>
      <w:r w:rsidR="00982861" w:rsidRPr="004D6878">
        <w:rPr>
          <w:rFonts w:ascii="Source Sans Pro" w:hAnsi="Source Sans Pro"/>
          <w:sz w:val="21"/>
          <w:szCs w:val="21"/>
          <w:shd w:val="clear" w:color="auto" w:fill="FFFFFF"/>
        </w:rPr>
        <w:t>4</w:t>
      </w:r>
    </w:p>
    <w:p w14:paraId="55B8BA6A" w14:textId="29DEE7AD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parti jelzéseket a</w:t>
      </w:r>
      <w:r w:rsidR="007B64D6" w:rsidRPr="004D6878">
        <w:rPr>
          <w:sz w:val="21"/>
          <w:szCs w:val="21"/>
        </w:rPr>
        <w:t xml:space="preserve"> Kékszalag</w:t>
      </w:r>
      <w:r w:rsidR="00310564" w:rsidRPr="004D6878">
        <w:rPr>
          <w:sz w:val="21"/>
          <w:szCs w:val="21"/>
        </w:rPr>
        <w:t xml:space="preserve"> Port</w:t>
      </w:r>
      <w:r w:rsidRPr="004D6878">
        <w:rPr>
          <w:sz w:val="21"/>
          <w:szCs w:val="21"/>
        </w:rPr>
        <w:t xml:space="preserve"> </w:t>
      </w:r>
      <w:r w:rsidR="009B509E" w:rsidRPr="004D6878">
        <w:rPr>
          <w:sz w:val="21"/>
          <w:szCs w:val="21"/>
        </w:rPr>
        <w:t>kikötő</w:t>
      </w:r>
      <w:r w:rsidRPr="004D6878">
        <w:rPr>
          <w:sz w:val="21"/>
          <w:szCs w:val="21"/>
        </w:rPr>
        <w:t xml:space="preserve"> főárbócán tűzik ki.</w:t>
      </w:r>
    </w:p>
    <w:p w14:paraId="2D27C582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Amikor az „Y” kódlobogó a parton kitűzésre kerül, a kikötőből való kifutástól a partra érkezésig érvényes a 40. szabály.</w:t>
      </w:r>
    </w:p>
    <w:p w14:paraId="69D0C818" w14:textId="137C6283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A versenyrendezőség a verseny rajtja előtt és a futam alatt a </w:t>
      </w:r>
      <w:r w:rsidR="00BD65AF" w:rsidRPr="004D6878">
        <w:rPr>
          <w:sz w:val="21"/>
          <w:szCs w:val="21"/>
        </w:rPr>
        <w:t>VHF-csatornán</w:t>
      </w:r>
      <w:r w:rsidRPr="004D6878">
        <w:rPr>
          <w:sz w:val="21"/>
          <w:szCs w:val="21"/>
        </w:rPr>
        <w:t xml:space="preserve"> keresztül sugároz információkat a versenyzők részére, a </w:t>
      </w:r>
      <w:r w:rsidR="00746853" w:rsidRPr="004D6878">
        <w:rPr>
          <w:sz w:val="21"/>
          <w:szCs w:val="21"/>
        </w:rPr>
        <w:t>VHF-csatorna</w:t>
      </w:r>
      <w:r w:rsidRPr="004D6878">
        <w:rPr>
          <w:sz w:val="21"/>
          <w:szCs w:val="21"/>
        </w:rPr>
        <w:t xml:space="preserve"> száma a versenyutasításban elérhető. [NP]</w:t>
      </w:r>
    </w:p>
    <w:p w14:paraId="09991F95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Az információközlésben (küldésben vagy fogadásban) bekövetkező hiba vagy a korai rajtos hajók bemondásának sorrendje nem képezheti orvoslati kérelem alapját, kivéve, ha az orvoslatot a Versenyrendezőség kezdeményezte. Ez módosítja a RRS 62.1 szabályt.</w:t>
      </w:r>
    </w:p>
    <w:p w14:paraId="525D48F5" w14:textId="254BE65A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A versenyzők csak vészhelyzetben, vagy a futam feladásakor használhatják a versenyrendezőség által megadott </w:t>
      </w:r>
      <w:r w:rsidR="00BD65AF" w:rsidRPr="004D6878">
        <w:rPr>
          <w:sz w:val="21"/>
          <w:szCs w:val="21"/>
        </w:rPr>
        <w:t>VHF-csatornát</w:t>
      </w:r>
      <w:r w:rsidRPr="004D6878">
        <w:rPr>
          <w:sz w:val="21"/>
          <w:szCs w:val="21"/>
        </w:rPr>
        <w:t xml:space="preserve"> kétoldalú kommunikációra. [NP] [DP]</w:t>
      </w:r>
    </w:p>
    <w:p w14:paraId="5FC4B0D3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lastRenderedPageBreak/>
        <w:t>RÉSZVÉTELI JOGOSULTSÁG ÉS NEVEZÉS</w:t>
      </w:r>
    </w:p>
    <w:p w14:paraId="17C075FB" w14:textId="36CE35F4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versenyre nevezhetnek a Versenyrendelkezésben rögzített aktív</w:t>
      </w:r>
      <w:r w:rsidR="00532FD6" w:rsidRPr="004D6878">
        <w:rPr>
          <w:sz w:val="21"/>
          <w:szCs w:val="21"/>
        </w:rPr>
        <w:t>/inaktív</w:t>
      </w:r>
      <w:r w:rsidRPr="004D6878">
        <w:rPr>
          <w:sz w:val="21"/>
          <w:szCs w:val="21"/>
        </w:rPr>
        <w:t xml:space="preserve"> hajóosztályok és értékelési csoportok az alábbiak szerint:</w:t>
      </w:r>
    </w:p>
    <w:p w14:paraId="4D7AE42B" w14:textId="77777777" w:rsidR="00964CF5" w:rsidRPr="004D6878" w:rsidRDefault="00964CF5" w:rsidP="00964CF5">
      <w:pPr>
        <w:pStyle w:val="Cmsor2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900" w:hanging="432"/>
        <w:rPr>
          <w:sz w:val="21"/>
          <w:szCs w:val="21"/>
        </w:rPr>
      </w:pPr>
      <w:r w:rsidRPr="004D6878">
        <w:rPr>
          <w:sz w:val="21"/>
          <w:szCs w:val="21"/>
        </w:rPr>
        <w:t xml:space="preserve">World </w:t>
      </w:r>
      <w:proofErr w:type="spellStart"/>
      <w:r w:rsidRPr="004D6878">
        <w:rPr>
          <w:sz w:val="21"/>
          <w:szCs w:val="21"/>
        </w:rPr>
        <w:t>Sailing</w:t>
      </w:r>
      <w:proofErr w:type="spellEnd"/>
      <w:r w:rsidRPr="004D6878">
        <w:rPr>
          <w:sz w:val="21"/>
          <w:szCs w:val="21"/>
        </w:rPr>
        <w:t xml:space="preserve"> osztályok közül: J24, Melges 24, Dragon;</w:t>
      </w:r>
    </w:p>
    <w:p w14:paraId="7E90121F" w14:textId="77777777" w:rsidR="00964CF5" w:rsidRPr="004D6878" w:rsidRDefault="00964CF5" w:rsidP="00964CF5">
      <w:pPr>
        <w:pStyle w:val="Cmsor2"/>
        <w:numPr>
          <w:ilvl w:val="0"/>
          <w:numId w:val="4"/>
        </w:numPr>
        <w:tabs>
          <w:tab w:val="clear" w:pos="720"/>
          <w:tab w:val="num" w:pos="360"/>
          <w:tab w:val="left" w:pos="1080"/>
        </w:tabs>
        <w:ind w:left="900" w:hanging="432"/>
        <w:rPr>
          <w:sz w:val="21"/>
          <w:szCs w:val="21"/>
        </w:rPr>
      </w:pPr>
      <w:r w:rsidRPr="004D6878">
        <w:rPr>
          <w:sz w:val="21"/>
          <w:szCs w:val="21"/>
        </w:rPr>
        <w:t>Nemzeti osztályok, kivéve a Kalóz osztály;</w:t>
      </w:r>
    </w:p>
    <w:p w14:paraId="78141A8E" w14:textId="77777777" w:rsidR="00964CF5" w:rsidRPr="004D6878" w:rsidRDefault="00964CF5" w:rsidP="00964CF5">
      <w:pPr>
        <w:pStyle w:val="Cmsor2"/>
        <w:numPr>
          <w:ilvl w:val="0"/>
          <w:numId w:val="5"/>
        </w:numPr>
        <w:tabs>
          <w:tab w:val="clear" w:pos="720"/>
          <w:tab w:val="num" w:pos="360"/>
          <w:tab w:val="left" w:pos="1080"/>
        </w:tabs>
        <w:ind w:left="900" w:hanging="432"/>
        <w:rPr>
          <w:sz w:val="21"/>
          <w:szCs w:val="21"/>
        </w:rPr>
      </w:pPr>
      <w:r w:rsidRPr="004D6878">
        <w:rPr>
          <w:sz w:val="21"/>
          <w:szCs w:val="21"/>
        </w:rPr>
        <w:t>értékelési csoportba tartozó és nyílt többtestű osztályok esetén a</w:t>
      </w:r>
    </w:p>
    <w:p w14:paraId="364BBDFC" w14:textId="77777777" w:rsidR="00964CF5" w:rsidRPr="004D6878" w:rsidRDefault="00964CF5" w:rsidP="00AD517F">
      <w:pPr>
        <w:pStyle w:val="Cmsor2"/>
        <w:numPr>
          <w:ilvl w:val="0"/>
          <w:numId w:val="6"/>
        </w:numPr>
        <w:tabs>
          <w:tab w:val="num" w:pos="709"/>
        </w:tabs>
        <w:ind w:left="851" w:hanging="6"/>
        <w:rPr>
          <w:sz w:val="21"/>
          <w:szCs w:val="21"/>
        </w:rPr>
      </w:pPr>
      <w:r w:rsidRPr="004D6878">
        <w:rPr>
          <w:sz w:val="21"/>
          <w:szCs w:val="21"/>
        </w:rPr>
        <w:t xml:space="preserve">tőkesúlyos és </w:t>
      </w:r>
      <w:smartTag w:uri="urn:schemas-microsoft-com:office:smarttags" w:element="metricconverter">
        <w:smartTagPr>
          <w:attr w:name="ProductID" w:val="15 m²"/>
        </w:smartTagPr>
        <w:r w:rsidRPr="004D6878">
          <w:rPr>
            <w:sz w:val="21"/>
            <w:szCs w:val="21"/>
          </w:rPr>
          <w:t>15 m²</w:t>
        </w:r>
      </w:smartTag>
      <w:r w:rsidRPr="004D6878">
        <w:rPr>
          <w:sz w:val="21"/>
          <w:szCs w:val="21"/>
        </w:rPr>
        <w:t>, vagy annál nagyobb orr- és nagyvitorla összfelületű alapvitorlázattal (az osztályelőírásban, vagy a felmérési dokumentációban rögzítettek szerint) rendelkező uszonyos;</w:t>
      </w:r>
    </w:p>
    <w:p w14:paraId="12C444E4" w14:textId="77777777" w:rsidR="00964CF5" w:rsidRPr="004D6878" w:rsidRDefault="00964CF5" w:rsidP="00AD517F">
      <w:pPr>
        <w:pStyle w:val="Cmsor2"/>
        <w:numPr>
          <w:ilvl w:val="0"/>
          <w:numId w:val="7"/>
        </w:numPr>
        <w:tabs>
          <w:tab w:val="clear" w:pos="0"/>
          <w:tab w:val="num" w:pos="360"/>
          <w:tab w:val="num" w:pos="709"/>
        </w:tabs>
        <w:ind w:left="851" w:hanging="6"/>
        <w:rPr>
          <w:sz w:val="21"/>
          <w:szCs w:val="21"/>
        </w:rPr>
      </w:pPr>
      <w:smartTag w:uri="urn:schemas-microsoft-com:office:smarttags" w:element="metricconverter">
        <w:smartTagPr>
          <w:attr w:name="ProductID" w:val="25 m²"/>
        </w:smartTagPr>
        <w:r w:rsidRPr="004D6878">
          <w:rPr>
            <w:sz w:val="21"/>
            <w:szCs w:val="21"/>
          </w:rPr>
          <w:t>25 m²</w:t>
        </w:r>
      </w:smartTag>
      <w:r w:rsidRPr="004D6878">
        <w:rPr>
          <w:sz w:val="21"/>
          <w:szCs w:val="21"/>
        </w:rPr>
        <w:t>, vagy annál nagyobb orr- és nagyvitorla összfelületű alapvitorlázattal (az osztályelőírásban, vagy a felmérési dokumentációban rögzítettek szerint) és minimum háromszemélyes többtestű hajók.</w:t>
      </w:r>
    </w:p>
    <w:p w14:paraId="0E93983A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Az olyan egytestű hajók, melyek bizonyítottan nem végzik el és nem állják ki az úgynevezett döntéspróbát, illetve a kabin nélküli többtestű hajók nevezése csak abban az esetben fogadható el, ha megnevezik azt a balatoni üzemeltetési engedéllyel rendelkező kísérő motorost vagy motorosokat, amely megfelelő sebességgel bír/bírnak és megfelelő létszám befogadására alkalmas a kísért hajó tekintetében, és amelyek vezetője aláírással vállalja a verseny teljes időtartama alatt a vitorlás 100 méteren belüli kíséretét - bójavételek és lezárt területek kivételével - és szükség esetén mentését.</w:t>
      </w:r>
    </w:p>
    <w:p w14:paraId="4F43A1CA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Minden hajónak rendelkeznie kell érvényes felmérési bizonylattal vagy regisztrációs adatlappal.</w:t>
      </w:r>
    </w:p>
    <w:p w14:paraId="0317A24F" w14:textId="562C4B46" w:rsidR="00057F22" w:rsidRPr="004D6878" w:rsidRDefault="00E85014" w:rsidP="00E85014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A kiírásban szereplő osztályok hajói csak saját osztályukban indulhatnak! Nincs </w:t>
      </w:r>
      <w:proofErr w:type="spellStart"/>
      <w:r w:rsidRPr="004D6878">
        <w:rPr>
          <w:sz w:val="21"/>
          <w:szCs w:val="21"/>
        </w:rPr>
        <w:t>Yardstick</w:t>
      </w:r>
      <w:proofErr w:type="spellEnd"/>
      <w:r w:rsidRPr="004D6878">
        <w:rPr>
          <w:sz w:val="21"/>
          <w:szCs w:val="21"/>
        </w:rPr>
        <w:t xml:space="preserve"> csoportba átsorolás. Ez módosítja az Ált. VR 9.1 pontját.</w:t>
      </w:r>
    </w:p>
    <w:p w14:paraId="70A2AF7A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nevezés lezárásáig megválasztott értékelési csoport a későbbiekben nem változtatható meg.</w:t>
      </w:r>
    </w:p>
    <w:p w14:paraId="2C32C725" w14:textId="56064D2F" w:rsidR="00964CF5" w:rsidRPr="004D6878" w:rsidRDefault="00964CF5" w:rsidP="00964CF5">
      <w:pPr>
        <w:pStyle w:val="Cmsor2"/>
        <w:rPr>
          <w:b/>
          <w:bCs/>
          <w:sz w:val="21"/>
          <w:szCs w:val="21"/>
        </w:rPr>
      </w:pPr>
      <w:r w:rsidRPr="004D6878">
        <w:rPr>
          <w:b/>
          <w:bCs/>
          <w:sz w:val="21"/>
          <w:szCs w:val="21"/>
        </w:rPr>
        <w:t>Online nevezés</w:t>
      </w:r>
      <w:r w:rsidR="00473251" w:rsidRPr="004D6878">
        <w:rPr>
          <w:b/>
          <w:bCs/>
          <w:sz w:val="21"/>
          <w:szCs w:val="21"/>
        </w:rPr>
        <w:t>:</w:t>
      </w:r>
    </w:p>
    <w:p w14:paraId="62352D5C" w14:textId="59FE1FA4" w:rsidR="008D52D0" w:rsidRPr="004D6878" w:rsidRDefault="003976D9" w:rsidP="007B002E">
      <w:pPr>
        <w:pStyle w:val="Cmsor3"/>
        <w:keepNext w:val="0"/>
        <w:keepLines w:val="0"/>
        <w:ind w:left="709" w:hanging="709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A CSILLAGTÚRA jellegéből adódóan (a hajók 7 kikötőből rajtolhatnak) </w:t>
      </w:r>
      <w:r w:rsidR="007B002E" w:rsidRPr="004D6878">
        <w:rPr>
          <w:rFonts w:ascii="DINPro" w:hAnsi="DINPro" w:cs="DINPro"/>
          <w:color w:val="auto"/>
          <w:sz w:val="21"/>
          <w:szCs w:val="21"/>
        </w:rPr>
        <w:t xml:space="preserve">a versenyre nevezni csak a VIHAR rendszeren keresztül, </w:t>
      </w:r>
      <w:r w:rsidRPr="004D6878">
        <w:rPr>
          <w:rFonts w:ascii="DINPro" w:hAnsi="DINPro" w:cs="DINPro"/>
          <w:color w:val="auto"/>
          <w:sz w:val="21"/>
          <w:szCs w:val="21"/>
        </w:rPr>
        <w:t>online</w:t>
      </w:r>
      <w:r w:rsidR="007B002E" w:rsidRPr="004D6878">
        <w:rPr>
          <w:rFonts w:ascii="DINPro" w:hAnsi="DINPro" w:cs="DINPro"/>
          <w:color w:val="auto"/>
          <w:sz w:val="21"/>
          <w:szCs w:val="21"/>
        </w:rPr>
        <w:t xml:space="preserve"> módon lehetséges.</w:t>
      </w:r>
      <w:r w:rsidR="00596EA4"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="00964CF5" w:rsidRPr="004D6878">
        <w:rPr>
          <w:rFonts w:ascii="DINPro" w:hAnsi="DINPro" w:cs="DINPro"/>
          <w:color w:val="auto"/>
          <w:sz w:val="21"/>
          <w:szCs w:val="21"/>
        </w:rPr>
        <w:t xml:space="preserve">Azon nevezések, melyeket online véglegesítettek és a nevezési díjat </w:t>
      </w:r>
      <w:r w:rsidR="00C142CD" w:rsidRPr="004D6878">
        <w:rPr>
          <w:rFonts w:ascii="DINPro" w:hAnsi="DINPro" w:cs="DINPro"/>
          <w:color w:val="auto"/>
          <w:sz w:val="21"/>
          <w:szCs w:val="21"/>
        </w:rPr>
        <w:t xml:space="preserve">a 4.6.2. pontnak megfelelően </w:t>
      </w:r>
      <w:r w:rsidR="00964CF5" w:rsidRPr="004D6878">
        <w:rPr>
          <w:rFonts w:ascii="DINPro" w:hAnsi="DINPro" w:cs="DINPro"/>
          <w:color w:val="auto"/>
          <w:sz w:val="21"/>
          <w:szCs w:val="21"/>
        </w:rPr>
        <w:t>kiegyenlítették, érvényesek.</w:t>
      </w:r>
      <w:bookmarkStart w:id="1" w:name="_Hlk150948318"/>
    </w:p>
    <w:bookmarkEnd w:id="1"/>
    <w:p w14:paraId="1E1526D6" w14:textId="77777777" w:rsidR="00596EA4" w:rsidRPr="004D6878" w:rsidRDefault="00596EA4" w:rsidP="00AE280C">
      <w:pPr>
        <w:pStyle w:val="Cmsor3"/>
        <w:keepNext w:val="0"/>
        <w:keepLines w:val="0"/>
        <w:ind w:left="709" w:hanging="709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A Nevezési díjat kiegyenlítése a </w:t>
      </w:r>
      <w:r w:rsidR="00AE280C" w:rsidRPr="004D6878">
        <w:rPr>
          <w:rFonts w:ascii="DINPro" w:hAnsi="DINPro" w:cs="DINPro"/>
          <w:color w:val="auto"/>
          <w:sz w:val="21"/>
          <w:szCs w:val="21"/>
        </w:rPr>
        <w:t xml:space="preserve">VILATI SE </w:t>
      </w:r>
      <w:r w:rsidRPr="004D6878">
        <w:rPr>
          <w:rFonts w:ascii="DINPro" w:hAnsi="DINPro" w:cs="DINPro"/>
          <w:color w:val="auto"/>
          <w:sz w:val="21"/>
          <w:szCs w:val="21"/>
        </w:rPr>
        <w:t xml:space="preserve">bankszámlájára utalással történik. </w:t>
      </w:r>
    </w:p>
    <w:p w14:paraId="6A27E702" w14:textId="706998BB" w:rsidR="00AE280C" w:rsidRPr="004D6878" w:rsidRDefault="00AE280C" w:rsidP="00596EA4">
      <w:pPr>
        <w:pStyle w:val="Cmsor3"/>
        <w:keepNext w:val="0"/>
        <w:keepLines w:val="0"/>
        <w:numPr>
          <w:ilvl w:val="0"/>
          <w:numId w:val="0"/>
        </w:numPr>
        <w:ind w:left="709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Bankszámlaszám: OTP Bank 11701004-20001278 </w:t>
      </w:r>
    </w:p>
    <w:p w14:paraId="665B6DD4" w14:textId="3C6B63B0" w:rsidR="00831929" w:rsidRPr="004D6878" w:rsidRDefault="00AE280C" w:rsidP="00AE280C">
      <w:pPr>
        <w:pStyle w:val="Cmsor3"/>
        <w:keepNext w:val="0"/>
        <w:keepLines w:val="0"/>
        <w:numPr>
          <w:ilvl w:val="0"/>
          <w:numId w:val="0"/>
        </w:numPr>
        <w:ind w:left="709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Az átutalás igazolását a </w:t>
      </w:r>
      <w:hyperlink r:id="rId11" w:history="1">
        <w:r w:rsidRPr="004D6878">
          <w:rPr>
            <w:rStyle w:val="Hiperhivatkozs"/>
            <w:rFonts w:ascii="DINPro" w:hAnsi="DINPro" w:cs="DINPro"/>
            <w:sz w:val="21"/>
            <w:szCs w:val="21"/>
          </w:rPr>
          <w:t>szervezes@csillagtura.hu</w:t>
        </w:r>
      </w:hyperlink>
      <w:r w:rsidRPr="004D6878">
        <w:rPr>
          <w:rFonts w:ascii="DINPro" w:hAnsi="DINPro" w:cs="DINPro"/>
          <w:color w:val="auto"/>
          <w:sz w:val="21"/>
          <w:szCs w:val="21"/>
        </w:rPr>
        <w:t xml:space="preserve"> címre kérjük elküldeni.</w:t>
      </w:r>
    </w:p>
    <w:p w14:paraId="23098A11" w14:textId="4EFE1357" w:rsidR="007B002E" w:rsidRPr="004D6878" w:rsidRDefault="007B002E" w:rsidP="007B002E">
      <w:pPr>
        <w:pStyle w:val="Cmsor3"/>
      </w:pPr>
      <w:r w:rsidRPr="004D6878">
        <w:t>Nevezési határidő: 2024. június 2</w:t>
      </w:r>
      <w:r w:rsidR="00C24F39" w:rsidRPr="004D6878">
        <w:t>8</w:t>
      </w:r>
      <w:r w:rsidRPr="004D6878">
        <w:rPr>
          <w:bCs/>
        </w:rPr>
        <w:t>.</w:t>
      </w:r>
      <w:r w:rsidRPr="004D6878">
        <w:t xml:space="preserve">  23:59.</w:t>
      </w:r>
    </w:p>
    <w:p w14:paraId="520134B2" w14:textId="48025BAB" w:rsidR="00964CF5" w:rsidRPr="004D6878" w:rsidRDefault="00964CF5" w:rsidP="00964CF5">
      <w:pPr>
        <w:pStyle w:val="Cmsor3"/>
        <w:keepNext w:val="0"/>
        <w:keepLines w:val="0"/>
        <w:ind w:left="709" w:hanging="709"/>
        <w:rPr>
          <w:rFonts w:ascii="DINPro" w:hAnsi="DINPro" w:cs="DINPro"/>
          <w:color w:val="auto"/>
          <w:sz w:val="21"/>
          <w:szCs w:val="21"/>
        </w:rPr>
      </w:pPr>
      <w:bookmarkStart w:id="2" w:name="_Hlk150947450"/>
      <w:r w:rsidRPr="004D6878">
        <w:rPr>
          <w:rFonts w:ascii="DINPro" w:hAnsi="DINPro" w:cs="DINPro"/>
          <w:color w:val="auto"/>
          <w:sz w:val="21"/>
          <w:szCs w:val="21"/>
        </w:rPr>
        <w:t>A</w:t>
      </w:r>
      <w:r w:rsidR="00C142CD"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Pr="004D6878">
        <w:rPr>
          <w:rFonts w:ascii="DINPro" w:hAnsi="DINPro" w:cs="DINPro"/>
          <w:color w:val="auto"/>
          <w:sz w:val="21"/>
          <w:szCs w:val="21"/>
        </w:rPr>
        <w:t>nevezés akkor válik érvényessé, ha:</w:t>
      </w:r>
    </w:p>
    <w:p w14:paraId="134F67F5" w14:textId="56EFBC6A" w:rsidR="00964CF5" w:rsidRPr="004D6878" w:rsidRDefault="00964CF5" w:rsidP="00964CF5">
      <w:pPr>
        <w:pStyle w:val="Cmsor2"/>
        <w:numPr>
          <w:ilvl w:val="1"/>
          <w:numId w:val="1"/>
        </w:numPr>
        <w:ind w:left="1440" w:hanging="456"/>
        <w:rPr>
          <w:sz w:val="21"/>
          <w:szCs w:val="21"/>
        </w:rPr>
      </w:pPr>
      <w:r w:rsidRPr="004D6878">
        <w:rPr>
          <w:sz w:val="21"/>
          <w:szCs w:val="21"/>
        </w:rPr>
        <w:t xml:space="preserve">a VIHAR rendszer </w:t>
      </w:r>
      <w:r w:rsidR="00C142CD" w:rsidRPr="004D6878">
        <w:rPr>
          <w:sz w:val="21"/>
          <w:szCs w:val="21"/>
        </w:rPr>
        <w:t>mind a hajó, mind a versenyen indulni kívánó versenyzők adatait elfogadta</w:t>
      </w:r>
      <w:r w:rsidRPr="004D6878">
        <w:rPr>
          <w:sz w:val="21"/>
          <w:szCs w:val="21"/>
        </w:rPr>
        <w:t>,</w:t>
      </w:r>
    </w:p>
    <w:p w14:paraId="6853ECEE" w14:textId="6B469D6E" w:rsidR="00964CF5" w:rsidRPr="004D6878" w:rsidRDefault="00964CF5" w:rsidP="00EB00DF">
      <w:pPr>
        <w:pStyle w:val="Cmsor2"/>
        <w:numPr>
          <w:ilvl w:val="1"/>
          <w:numId w:val="1"/>
        </w:numPr>
        <w:ind w:left="1418" w:hanging="434"/>
        <w:rPr>
          <w:sz w:val="21"/>
          <w:szCs w:val="21"/>
        </w:rPr>
      </w:pPr>
      <w:r w:rsidRPr="004D6878">
        <w:rPr>
          <w:sz w:val="21"/>
          <w:szCs w:val="21"/>
        </w:rPr>
        <w:t xml:space="preserve">a nevezési díj </w:t>
      </w:r>
      <w:r w:rsidR="00C142CD" w:rsidRPr="004D6878">
        <w:rPr>
          <w:sz w:val="21"/>
          <w:szCs w:val="21"/>
        </w:rPr>
        <w:t xml:space="preserve">a 4.6.2. pontnak megfelelően </w:t>
      </w:r>
      <w:r w:rsidRPr="004D6878">
        <w:rPr>
          <w:sz w:val="21"/>
          <w:szCs w:val="21"/>
        </w:rPr>
        <w:t>kiegyenlítésre</w:t>
      </w:r>
      <w:r w:rsidR="00596EA4" w:rsidRPr="004D6878">
        <w:rPr>
          <w:sz w:val="21"/>
          <w:szCs w:val="21"/>
        </w:rPr>
        <w:t>,</w:t>
      </w:r>
      <w:r w:rsidRPr="004D6878">
        <w:rPr>
          <w:sz w:val="21"/>
          <w:szCs w:val="21"/>
        </w:rPr>
        <w:t xml:space="preserve"> </w:t>
      </w:r>
      <w:r w:rsidR="00596EA4" w:rsidRPr="004D6878">
        <w:rPr>
          <w:sz w:val="21"/>
          <w:szCs w:val="21"/>
        </w:rPr>
        <w:t xml:space="preserve">az átutalás igazolás megküldésre </w:t>
      </w:r>
      <w:r w:rsidRPr="004D6878">
        <w:rPr>
          <w:sz w:val="21"/>
          <w:szCs w:val="21"/>
        </w:rPr>
        <w:t>kerül</w:t>
      </w:r>
      <w:r w:rsidR="00C142CD" w:rsidRPr="004D6878">
        <w:rPr>
          <w:sz w:val="21"/>
          <w:szCs w:val="21"/>
        </w:rPr>
        <w:t>t</w:t>
      </w:r>
      <w:r w:rsidRPr="004D6878">
        <w:rPr>
          <w:sz w:val="21"/>
          <w:szCs w:val="21"/>
        </w:rPr>
        <w:t>.</w:t>
      </w:r>
    </w:p>
    <w:bookmarkEnd w:id="2"/>
    <w:p w14:paraId="76B558E0" w14:textId="77777777" w:rsidR="00964CF5" w:rsidRPr="004D6878" w:rsidRDefault="00964CF5" w:rsidP="00964CF5">
      <w:pPr>
        <w:pStyle w:val="Cmsor3"/>
        <w:keepNext w:val="0"/>
        <w:keepLines w:val="0"/>
        <w:ind w:left="709" w:hanging="709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>Ellenkező esetben az érintett egység nevezése törlésre kerül.</w:t>
      </w:r>
    </w:p>
    <w:p w14:paraId="261F713A" w14:textId="79BADD10" w:rsidR="00964CF5" w:rsidRPr="004D6878" w:rsidRDefault="00964CF5" w:rsidP="00964CF5">
      <w:pPr>
        <w:pStyle w:val="Cmsor2"/>
        <w:rPr>
          <w:b/>
          <w:bCs/>
          <w:sz w:val="21"/>
          <w:szCs w:val="21"/>
        </w:rPr>
      </w:pPr>
      <w:r w:rsidRPr="004D6878">
        <w:rPr>
          <w:b/>
          <w:bCs/>
          <w:sz w:val="21"/>
          <w:szCs w:val="21"/>
        </w:rPr>
        <w:t>Helyszíni nevezés</w:t>
      </w:r>
      <w:r w:rsidR="00473251" w:rsidRPr="004D6878">
        <w:rPr>
          <w:b/>
          <w:bCs/>
          <w:sz w:val="21"/>
          <w:szCs w:val="21"/>
        </w:rPr>
        <w:t>:</w:t>
      </w:r>
    </w:p>
    <w:p w14:paraId="42250F45" w14:textId="12CB5941" w:rsidR="00BD65AF" w:rsidRPr="004D6878" w:rsidRDefault="00E3050C" w:rsidP="002112BC">
      <w:pPr>
        <w:pStyle w:val="Cmsor3"/>
        <w:keepNext w:val="0"/>
        <w:keepLines w:val="0"/>
        <w:ind w:left="709" w:hanging="709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="00C142CD" w:rsidRPr="004D6878">
        <w:rPr>
          <w:rFonts w:ascii="DINPro" w:hAnsi="DINPro" w:cs="DINPro"/>
          <w:color w:val="auto"/>
          <w:sz w:val="21"/>
          <w:szCs w:val="21"/>
        </w:rPr>
        <w:t>A CSILLAGTÚRA jellegéből adódóan (a hajók 7 kikötőből rajtolhatnak) a versenye</w:t>
      </w:r>
      <w:r w:rsidR="00C142CD" w:rsidRPr="004D6878">
        <w:rPr>
          <w:color w:val="auto"/>
          <w:sz w:val="21"/>
          <w:szCs w:val="21"/>
        </w:rPr>
        <w:t xml:space="preserve">n </w:t>
      </w:r>
      <w:proofErr w:type="gramStart"/>
      <w:r w:rsidR="00C142CD" w:rsidRPr="004D6878">
        <w:rPr>
          <w:color w:val="auto"/>
          <w:sz w:val="21"/>
          <w:szCs w:val="21"/>
        </w:rPr>
        <w:t xml:space="preserve">helyszíni </w:t>
      </w:r>
      <w:r w:rsidR="00C142CD" w:rsidRPr="004D6878">
        <w:rPr>
          <w:rFonts w:ascii="DINPro" w:hAnsi="DINPro" w:cs="DINPro"/>
          <w:color w:val="auto"/>
          <w:sz w:val="21"/>
          <w:szCs w:val="21"/>
        </w:rPr>
        <w:t xml:space="preserve"> nevezés</w:t>
      </w:r>
      <w:proofErr w:type="gramEnd"/>
      <w:r w:rsidR="00C142CD" w:rsidRPr="004D6878">
        <w:rPr>
          <w:rFonts w:ascii="DINPro" w:hAnsi="DINPro" w:cs="DINPro"/>
          <w:color w:val="auto"/>
          <w:sz w:val="21"/>
          <w:szCs w:val="21"/>
        </w:rPr>
        <w:t xml:space="preserve"> nincs</w:t>
      </w:r>
      <w:r w:rsidR="00964CF5" w:rsidRPr="004D6878">
        <w:rPr>
          <w:rFonts w:ascii="DINPro" w:hAnsi="DINPro" w:cs="DINPro"/>
          <w:color w:val="auto"/>
          <w:sz w:val="21"/>
          <w:szCs w:val="21"/>
        </w:rPr>
        <w:t>.</w:t>
      </w:r>
    </w:p>
    <w:p w14:paraId="3E8B983F" w14:textId="77777777" w:rsidR="00596EA4" w:rsidRPr="004D6878" w:rsidRDefault="00596EA4" w:rsidP="00596EA4"/>
    <w:p w14:paraId="39ED8D60" w14:textId="6BD0BE65" w:rsidR="00964CF5" w:rsidRPr="004D6878" w:rsidRDefault="00964CF5" w:rsidP="00964CF5">
      <w:pPr>
        <w:pStyle w:val="Cmsor1"/>
        <w:spacing w:before="0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NEVEZÉSI DÍJAK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6"/>
        <w:gridCol w:w="2268"/>
      </w:tblGrid>
      <w:tr w:rsidR="00964CF5" w:rsidRPr="004D6878" w14:paraId="3E084B50" w14:textId="77777777" w:rsidTr="004901D4">
        <w:trPr>
          <w:jc w:val="center"/>
        </w:trPr>
        <w:tc>
          <w:tcPr>
            <w:tcW w:w="3256" w:type="dxa"/>
          </w:tcPr>
          <w:p w14:paraId="69556201" w14:textId="77777777" w:rsidR="00964CF5" w:rsidRPr="004D6878" w:rsidRDefault="00964CF5" w:rsidP="004901D4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jc w:val="center"/>
              <w:rPr>
                <w:rFonts w:ascii="DINPro" w:hAnsi="DINPro" w:cs="DINPro"/>
                <w:b/>
                <w:bCs/>
                <w:sz w:val="21"/>
                <w:szCs w:val="21"/>
              </w:rPr>
            </w:pPr>
            <w:bookmarkStart w:id="3" w:name="_Hlk506210018"/>
            <w:r w:rsidRPr="004D6878">
              <w:rPr>
                <w:rFonts w:ascii="DINPro" w:hAnsi="DINPro" w:cs="DINPro"/>
                <w:b/>
                <w:bCs/>
                <w:sz w:val="21"/>
                <w:szCs w:val="21"/>
              </w:rPr>
              <w:t>Korcsoportok (születési év)</w:t>
            </w:r>
          </w:p>
        </w:tc>
        <w:tc>
          <w:tcPr>
            <w:tcW w:w="2268" w:type="dxa"/>
          </w:tcPr>
          <w:p w14:paraId="0B9DC12B" w14:textId="77777777" w:rsidR="00964CF5" w:rsidRPr="004D6878" w:rsidRDefault="00964CF5" w:rsidP="004901D4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jc w:val="center"/>
              <w:rPr>
                <w:rFonts w:ascii="DINPro" w:hAnsi="DINPro" w:cs="DINPro"/>
                <w:b/>
                <w:bCs/>
                <w:sz w:val="21"/>
                <w:szCs w:val="21"/>
              </w:rPr>
            </w:pPr>
            <w:r w:rsidRPr="004D6878">
              <w:rPr>
                <w:rFonts w:ascii="DINPro" w:hAnsi="DINPro" w:cs="DINPro"/>
                <w:b/>
                <w:bCs/>
                <w:sz w:val="21"/>
                <w:szCs w:val="21"/>
              </w:rPr>
              <w:t>Nevezési díj</w:t>
            </w:r>
          </w:p>
        </w:tc>
      </w:tr>
      <w:tr w:rsidR="00964CF5" w:rsidRPr="004D6878" w14:paraId="3C3F9707" w14:textId="77777777" w:rsidTr="004901D4">
        <w:trPr>
          <w:jc w:val="center"/>
        </w:trPr>
        <w:tc>
          <w:tcPr>
            <w:tcW w:w="3256" w:type="dxa"/>
            <w:shd w:val="clear" w:color="auto" w:fill="F2F2F2"/>
          </w:tcPr>
          <w:p w14:paraId="5F3E1AD8" w14:textId="76141DCB" w:rsidR="00964CF5" w:rsidRPr="004D6878" w:rsidRDefault="00964CF5" w:rsidP="004901D4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rPr>
                <w:rFonts w:ascii="DINPro" w:hAnsi="DINPro" w:cs="DINPro"/>
                <w:b/>
                <w:bCs/>
                <w:sz w:val="21"/>
                <w:szCs w:val="21"/>
              </w:rPr>
            </w:pPr>
            <w:r w:rsidRPr="004D6878">
              <w:rPr>
                <w:rFonts w:ascii="DINPro" w:hAnsi="DINPro" w:cs="DINPro"/>
                <w:bCs/>
                <w:sz w:val="21"/>
                <w:szCs w:val="21"/>
              </w:rPr>
              <w:t>Felnőtt   -200</w:t>
            </w:r>
            <w:r w:rsidR="0078471F" w:rsidRPr="004D6878">
              <w:rPr>
                <w:rFonts w:ascii="DINPro" w:hAnsi="DINPro" w:cs="DINPro"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  <w:shd w:val="clear" w:color="auto" w:fill="F2F2F2"/>
          </w:tcPr>
          <w:p w14:paraId="6C98C80D" w14:textId="7B9EE1D3" w:rsidR="00964CF5" w:rsidRPr="004D6878" w:rsidRDefault="00D65FCF" w:rsidP="004901D4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jc w:val="center"/>
              <w:rPr>
                <w:rFonts w:ascii="DINPro" w:hAnsi="DINPro" w:cs="DINPro"/>
                <w:strike/>
                <w:sz w:val="21"/>
                <w:szCs w:val="21"/>
              </w:rPr>
            </w:pPr>
            <w:r w:rsidRPr="004D6878">
              <w:rPr>
                <w:rFonts w:ascii="DINPro" w:hAnsi="DINPro" w:cs="DINPro"/>
                <w:sz w:val="21"/>
                <w:szCs w:val="21"/>
              </w:rPr>
              <w:t>1</w:t>
            </w:r>
            <w:r w:rsidR="00982861" w:rsidRPr="004D6878">
              <w:rPr>
                <w:rFonts w:ascii="DINPro" w:hAnsi="DINPro" w:cs="DINPro"/>
                <w:sz w:val="21"/>
                <w:szCs w:val="21"/>
              </w:rPr>
              <w:t>6</w:t>
            </w:r>
            <w:r w:rsidRPr="004D6878">
              <w:rPr>
                <w:rFonts w:ascii="DINPro" w:hAnsi="DINPro" w:cs="DINPro"/>
                <w:sz w:val="21"/>
                <w:szCs w:val="21"/>
              </w:rPr>
              <w:t>.000 Ft/fő</w:t>
            </w:r>
          </w:p>
        </w:tc>
      </w:tr>
      <w:tr w:rsidR="00964CF5" w:rsidRPr="004D6878" w14:paraId="449189BA" w14:textId="77777777" w:rsidTr="004901D4">
        <w:trPr>
          <w:jc w:val="center"/>
        </w:trPr>
        <w:tc>
          <w:tcPr>
            <w:tcW w:w="3256" w:type="dxa"/>
          </w:tcPr>
          <w:p w14:paraId="6E91CE91" w14:textId="26229044" w:rsidR="00964CF5" w:rsidRPr="004D6878" w:rsidRDefault="00964CF5" w:rsidP="004901D4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rPr>
                <w:rFonts w:ascii="DINPro" w:hAnsi="DINPro" w:cs="DINPro"/>
                <w:b/>
                <w:bCs/>
                <w:sz w:val="21"/>
                <w:szCs w:val="21"/>
              </w:rPr>
            </w:pPr>
            <w:r w:rsidRPr="004D6878">
              <w:rPr>
                <w:rFonts w:ascii="DINPro" w:hAnsi="DINPro" w:cs="DINPro"/>
                <w:bCs/>
                <w:sz w:val="21"/>
                <w:szCs w:val="21"/>
              </w:rPr>
              <w:t>Ifjúsági    20</w:t>
            </w:r>
            <w:r w:rsidR="0046639A">
              <w:rPr>
                <w:rFonts w:ascii="DINPro" w:hAnsi="DINPro" w:cs="DINPro"/>
                <w:bCs/>
                <w:sz w:val="21"/>
                <w:szCs w:val="21"/>
              </w:rPr>
              <w:t>06</w:t>
            </w:r>
            <w:r w:rsidRPr="004D6878">
              <w:rPr>
                <w:rFonts w:ascii="DINPro" w:hAnsi="DINPro" w:cs="DINPro"/>
                <w:bCs/>
                <w:sz w:val="21"/>
                <w:szCs w:val="21"/>
              </w:rPr>
              <w:t>-20</w:t>
            </w:r>
            <w:r w:rsidR="0078471F" w:rsidRPr="004D6878">
              <w:rPr>
                <w:rFonts w:ascii="DINPro" w:hAnsi="DINPro" w:cs="DINPro"/>
                <w:bCs/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14:paraId="6AAE8783" w14:textId="54F4CF68" w:rsidR="00964CF5" w:rsidRPr="004D6878" w:rsidRDefault="00E3050C" w:rsidP="00D65FCF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rPr>
                <w:rFonts w:ascii="DINPro" w:hAnsi="DINPro" w:cs="DINPro"/>
                <w:strike/>
                <w:sz w:val="21"/>
                <w:szCs w:val="21"/>
              </w:rPr>
            </w:pPr>
            <w:r w:rsidRPr="004D6878">
              <w:rPr>
                <w:rFonts w:ascii="DINPro" w:hAnsi="DINPro" w:cs="DINPro"/>
                <w:sz w:val="21"/>
                <w:szCs w:val="21"/>
              </w:rPr>
              <w:t xml:space="preserve">             </w:t>
            </w:r>
            <w:r w:rsidR="00982861" w:rsidRPr="004D6878">
              <w:rPr>
                <w:rFonts w:ascii="DINPro" w:hAnsi="DINPro" w:cs="DINPro"/>
                <w:sz w:val="21"/>
                <w:szCs w:val="21"/>
              </w:rPr>
              <w:t>8</w:t>
            </w:r>
            <w:r w:rsidR="00D65FCF" w:rsidRPr="004D6878">
              <w:rPr>
                <w:rFonts w:ascii="DINPro" w:hAnsi="DINPro" w:cs="DINPro"/>
                <w:sz w:val="21"/>
                <w:szCs w:val="21"/>
              </w:rPr>
              <w:t>.000 Ft/fő</w:t>
            </w:r>
          </w:p>
        </w:tc>
      </w:tr>
      <w:tr w:rsidR="00964CF5" w:rsidRPr="004D6878" w14:paraId="63D294AB" w14:textId="77777777" w:rsidTr="004901D4">
        <w:trPr>
          <w:jc w:val="center"/>
        </w:trPr>
        <w:tc>
          <w:tcPr>
            <w:tcW w:w="3256" w:type="dxa"/>
            <w:shd w:val="clear" w:color="auto" w:fill="F2F2F2"/>
          </w:tcPr>
          <w:p w14:paraId="1E5D75F2" w14:textId="76EAE6B3" w:rsidR="00964CF5" w:rsidRPr="004D6878" w:rsidRDefault="00964CF5" w:rsidP="004901D4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rPr>
                <w:rFonts w:ascii="DINPro" w:hAnsi="DINPro" w:cs="DINPro"/>
                <w:b/>
                <w:bCs/>
                <w:sz w:val="21"/>
                <w:szCs w:val="21"/>
              </w:rPr>
            </w:pPr>
            <w:r w:rsidRPr="004D6878">
              <w:rPr>
                <w:rFonts w:ascii="DINPro" w:hAnsi="DINPro" w:cs="DINPro"/>
                <w:bCs/>
                <w:sz w:val="21"/>
                <w:szCs w:val="21"/>
              </w:rPr>
              <w:t>Serdülő</w:t>
            </w:r>
            <w:r w:rsidR="00CE2476" w:rsidRPr="004D6878">
              <w:rPr>
                <w:rFonts w:ascii="DINPro" w:hAnsi="DINPro" w:cs="DINPro"/>
                <w:bCs/>
                <w:sz w:val="21"/>
                <w:szCs w:val="21"/>
              </w:rPr>
              <w:t>, mocó</w:t>
            </w:r>
            <w:r w:rsidRPr="004D6878">
              <w:rPr>
                <w:rFonts w:ascii="DINPro" w:hAnsi="DINPro" w:cs="DINPro"/>
                <w:bCs/>
                <w:sz w:val="21"/>
                <w:szCs w:val="21"/>
              </w:rPr>
              <w:t xml:space="preserve">   20</w:t>
            </w:r>
            <w:r w:rsidR="00982861" w:rsidRPr="004D6878">
              <w:rPr>
                <w:rFonts w:ascii="DINPro" w:hAnsi="DINPro" w:cs="DINPro"/>
                <w:bCs/>
                <w:sz w:val="21"/>
                <w:szCs w:val="21"/>
              </w:rPr>
              <w:t>1</w:t>
            </w:r>
            <w:r w:rsidR="0078471F" w:rsidRPr="004D6878">
              <w:rPr>
                <w:rFonts w:ascii="DINPro" w:hAnsi="DINPro" w:cs="DINPro"/>
                <w:bCs/>
                <w:sz w:val="21"/>
                <w:szCs w:val="21"/>
              </w:rPr>
              <w:t>2</w:t>
            </w:r>
            <w:r w:rsidRPr="004D6878">
              <w:rPr>
                <w:rFonts w:ascii="DINPro" w:hAnsi="DINPro" w:cs="DINPro"/>
                <w:bCs/>
                <w:sz w:val="21"/>
                <w:szCs w:val="21"/>
              </w:rPr>
              <w:t>-</w:t>
            </w:r>
          </w:p>
        </w:tc>
        <w:tc>
          <w:tcPr>
            <w:tcW w:w="2268" w:type="dxa"/>
            <w:shd w:val="clear" w:color="auto" w:fill="F2F2F2"/>
          </w:tcPr>
          <w:p w14:paraId="0282826F" w14:textId="77777777" w:rsidR="00964CF5" w:rsidRPr="004D6878" w:rsidRDefault="00964CF5" w:rsidP="004901D4">
            <w:pPr>
              <w:tabs>
                <w:tab w:val="left" w:pos="540"/>
                <w:tab w:val="left" w:pos="3240"/>
                <w:tab w:val="left" w:pos="6804"/>
              </w:tabs>
              <w:spacing w:line="300" w:lineRule="exact"/>
              <w:jc w:val="center"/>
              <w:rPr>
                <w:rFonts w:ascii="DINPro" w:hAnsi="DINPro" w:cs="DINPro"/>
                <w:sz w:val="21"/>
                <w:szCs w:val="21"/>
              </w:rPr>
            </w:pPr>
            <w:r w:rsidRPr="004D6878">
              <w:rPr>
                <w:rFonts w:ascii="DINPro" w:hAnsi="DINPro" w:cs="DINPro"/>
                <w:sz w:val="21"/>
                <w:szCs w:val="21"/>
              </w:rPr>
              <w:t>-</w:t>
            </w:r>
          </w:p>
        </w:tc>
      </w:tr>
    </w:tbl>
    <w:p w14:paraId="456C0815" w14:textId="1598F2C0" w:rsidR="00964CF5" w:rsidRPr="004D6878" w:rsidRDefault="00964CF5" w:rsidP="00964CF5">
      <w:pPr>
        <w:pStyle w:val="Cmsor2"/>
        <w:rPr>
          <w:sz w:val="21"/>
          <w:szCs w:val="21"/>
        </w:rPr>
      </w:pPr>
      <w:bookmarkStart w:id="4" w:name="_Hlk534900993"/>
      <w:bookmarkEnd w:id="3"/>
      <w:r w:rsidRPr="004D6878">
        <w:rPr>
          <w:sz w:val="21"/>
          <w:szCs w:val="21"/>
        </w:rPr>
        <w:t>A kifizetett nevezési díjat a Versenyrendezőségnek nem áll módjában visszafizetni.</w:t>
      </w:r>
    </w:p>
    <w:bookmarkEnd w:id="4"/>
    <w:p w14:paraId="5C7EDB7A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HIRDETÉSEK</w:t>
      </w:r>
    </w:p>
    <w:p w14:paraId="09B6CCF6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résztvevő hajók kötelezhetők a Versenyrendezőség által meghatározott és biztosított hirdetés viselésére. [NP] [DP]</w:t>
      </w:r>
    </w:p>
    <w:p w14:paraId="44E1B396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VERSENYPROGRAM</w:t>
      </w:r>
    </w:p>
    <w:p w14:paraId="21B36081" w14:textId="2BE09B09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Versenyrendezőség</w:t>
      </w:r>
      <w:r w:rsidR="00DE699E" w:rsidRPr="004D6878">
        <w:rPr>
          <w:sz w:val="21"/>
          <w:szCs w:val="21"/>
        </w:rPr>
        <w:t xml:space="preserve"> 1</w:t>
      </w:r>
      <w:r w:rsidR="00EB00DF" w:rsidRPr="004D6878">
        <w:rPr>
          <w:sz w:val="21"/>
          <w:szCs w:val="21"/>
        </w:rPr>
        <w:t xml:space="preserve"> </w:t>
      </w:r>
      <w:r w:rsidRPr="004D6878">
        <w:rPr>
          <w:sz w:val="21"/>
          <w:szCs w:val="21"/>
        </w:rPr>
        <w:t>túrafutam lebonyolítását tervezi.</w:t>
      </w:r>
    </w:p>
    <w:p w14:paraId="15859BC7" w14:textId="225F93D0" w:rsidR="00AE48A7" w:rsidRPr="004D6878" w:rsidRDefault="00964CF5" w:rsidP="00AE48A7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A figyelmeztető jelzés </w:t>
      </w:r>
      <w:r w:rsidR="00AE48A7" w:rsidRPr="004D6878">
        <w:rPr>
          <w:sz w:val="21"/>
          <w:szCs w:val="21"/>
        </w:rPr>
        <w:t xml:space="preserve">a versenyen </w:t>
      </w:r>
      <w:r w:rsidR="00BB060B" w:rsidRPr="004D6878">
        <w:rPr>
          <w:sz w:val="21"/>
          <w:szCs w:val="21"/>
        </w:rPr>
        <w:t>rajtja előtt</w:t>
      </w:r>
      <w:r w:rsidR="00C951A4" w:rsidRPr="004D6878">
        <w:rPr>
          <w:sz w:val="21"/>
          <w:szCs w:val="21"/>
        </w:rPr>
        <w:t xml:space="preserve"> nincs</w:t>
      </w:r>
      <w:r w:rsidR="00BB060B" w:rsidRPr="004D6878">
        <w:rPr>
          <w:sz w:val="21"/>
          <w:szCs w:val="21"/>
        </w:rPr>
        <w:t>.</w:t>
      </w:r>
    </w:p>
    <w:p w14:paraId="5A02A01A" w14:textId="61FC44BE" w:rsidR="00C951A4" w:rsidRPr="004D6878" w:rsidRDefault="00AE48A7" w:rsidP="00AE48A7">
      <w:pPr>
        <w:pStyle w:val="Cmsor2"/>
      </w:pPr>
      <w:r w:rsidRPr="004D6878">
        <w:rPr>
          <w:sz w:val="21"/>
          <w:szCs w:val="21"/>
        </w:rPr>
        <w:t xml:space="preserve">A RAJT időpontja </w:t>
      </w:r>
      <w:r w:rsidRPr="004D6878">
        <w:rPr>
          <w:bCs/>
          <w:sz w:val="21"/>
          <w:szCs w:val="21"/>
        </w:rPr>
        <w:t>2024. június 2</w:t>
      </w:r>
      <w:r w:rsidR="00C24F39" w:rsidRPr="004D6878">
        <w:rPr>
          <w:bCs/>
          <w:sz w:val="21"/>
          <w:szCs w:val="21"/>
        </w:rPr>
        <w:t>9</w:t>
      </w:r>
      <w:r w:rsidRPr="004D6878">
        <w:rPr>
          <w:bCs/>
          <w:sz w:val="21"/>
          <w:szCs w:val="21"/>
        </w:rPr>
        <w:t>-</w:t>
      </w:r>
      <w:r w:rsidR="00C24F39" w:rsidRPr="004D6878">
        <w:rPr>
          <w:bCs/>
          <w:sz w:val="21"/>
          <w:szCs w:val="21"/>
        </w:rPr>
        <w:t>é</w:t>
      </w:r>
      <w:r w:rsidRPr="004D6878">
        <w:rPr>
          <w:bCs/>
          <w:sz w:val="21"/>
          <w:szCs w:val="21"/>
        </w:rPr>
        <w:t>n</w:t>
      </w:r>
      <w:r w:rsidRPr="004D6878">
        <w:rPr>
          <w:sz w:val="21"/>
          <w:szCs w:val="21"/>
        </w:rPr>
        <w:t xml:space="preserve"> 9.00 óra</w:t>
      </w:r>
    </w:p>
    <w:p w14:paraId="758088FA" w14:textId="37E44E29" w:rsidR="00AE48A7" w:rsidRPr="004D6878" w:rsidRDefault="00C951A4" w:rsidP="00AE48A7">
      <w:pPr>
        <w:pStyle w:val="Cmsor2"/>
      </w:pPr>
      <w:r w:rsidRPr="004D6878">
        <w:rPr>
          <w:sz w:val="21"/>
          <w:szCs w:val="21"/>
        </w:rPr>
        <w:t>A rajtolásra limitidő nincs.</w:t>
      </w:r>
    </w:p>
    <w:p w14:paraId="3C7A8E12" w14:textId="111BC9E0" w:rsidR="00964CF5" w:rsidRPr="004D6878" w:rsidRDefault="00C951A4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lastRenderedPageBreak/>
        <w:t>Befutó l</w:t>
      </w:r>
      <w:r w:rsidR="00964CF5" w:rsidRPr="004D6878">
        <w:rPr>
          <w:sz w:val="21"/>
          <w:szCs w:val="21"/>
        </w:rPr>
        <w:t xml:space="preserve">imitidő: </w:t>
      </w:r>
      <w:r w:rsidRPr="004D6878">
        <w:rPr>
          <w:sz w:val="21"/>
          <w:szCs w:val="21"/>
        </w:rPr>
        <w:t xml:space="preserve">2024. június </w:t>
      </w:r>
      <w:r w:rsidR="00C24F39" w:rsidRPr="004D6878">
        <w:rPr>
          <w:sz w:val="21"/>
          <w:szCs w:val="21"/>
        </w:rPr>
        <w:t>30</w:t>
      </w:r>
      <w:r w:rsidR="004470FE" w:rsidRPr="004D6878">
        <w:rPr>
          <w:bCs/>
          <w:sz w:val="21"/>
          <w:szCs w:val="21"/>
        </w:rPr>
        <w:t>-</w:t>
      </w:r>
      <w:r w:rsidR="00C24F39" w:rsidRPr="004D6878">
        <w:rPr>
          <w:bCs/>
          <w:sz w:val="21"/>
          <w:szCs w:val="21"/>
        </w:rPr>
        <w:t>á</w:t>
      </w:r>
      <w:r w:rsidR="004470FE" w:rsidRPr="004D6878">
        <w:rPr>
          <w:bCs/>
          <w:sz w:val="21"/>
          <w:szCs w:val="21"/>
        </w:rPr>
        <w:t>n</w:t>
      </w:r>
      <w:r w:rsidR="004470FE" w:rsidRPr="004D6878">
        <w:rPr>
          <w:sz w:val="21"/>
          <w:szCs w:val="21"/>
        </w:rPr>
        <w:t xml:space="preserve"> </w:t>
      </w:r>
      <w:r w:rsidR="00255FEA" w:rsidRPr="004D6878">
        <w:rPr>
          <w:sz w:val="21"/>
          <w:szCs w:val="21"/>
        </w:rPr>
        <w:t xml:space="preserve">9.00 – 10.30 </w:t>
      </w:r>
      <w:r w:rsidR="00964CF5" w:rsidRPr="004D6878">
        <w:rPr>
          <w:sz w:val="21"/>
          <w:szCs w:val="21"/>
        </w:rPr>
        <w:t>óra</w:t>
      </w:r>
      <w:r w:rsidR="00CB2174" w:rsidRPr="004D6878">
        <w:rPr>
          <w:sz w:val="21"/>
          <w:szCs w:val="21"/>
        </w:rPr>
        <w:t xml:space="preserve"> között.</w:t>
      </w:r>
    </w:p>
    <w:p w14:paraId="44A90A67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limitidőig be nem érkezett hajókat a Versenyrendezőség »célba nem ért« – DNF – jelzéssel értékeli.</w:t>
      </w:r>
    </w:p>
    <w:p w14:paraId="2400DE4C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VERSENYPÁLYA</w:t>
      </w:r>
    </w:p>
    <w:p w14:paraId="5FFEB4CC" w14:textId="4462F961" w:rsidR="00806A71" w:rsidRPr="004D6878" w:rsidRDefault="00806A71" w:rsidP="00AC5E86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Balatonfüred (Balatonfüredi Nemzetközi Vitorlásközpont), Alsóörs, Balatonalmádi, Siófok, Balatonföldvár, Badacsony (Balatoni Hajózási Zrt. kikötők), Révfülöp (Nemzeti Sportközpontok Révfülöpi Vitorláskikötő) kikötők </w:t>
      </w:r>
      <w:r w:rsidR="00FA084D" w:rsidRPr="004D6878">
        <w:rPr>
          <w:sz w:val="21"/>
          <w:szCs w:val="21"/>
        </w:rPr>
        <w:t xml:space="preserve">előtt, </w:t>
      </w:r>
      <w:bookmarkStart w:id="5" w:name="_Hlk127211655"/>
      <w:r w:rsidR="00FA084D" w:rsidRPr="004D6878">
        <w:rPr>
          <w:sz w:val="21"/>
          <w:szCs w:val="21"/>
        </w:rPr>
        <w:t>megadott</w:t>
      </w:r>
      <w:bookmarkEnd w:id="5"/>
      <w:r w:rsidR="00FA084D" w:rsidRPr="004D6878">
        <w:rPr>
          <w:sz w:val="21"/>
          <w:szCs w:val="21"/>
        </w:rPr>
        <w:t xml:space="preserve"> GPS koordináták szerint kitűzött kapuk </w:t>
      </w:r>
      <w:r w:rsidRPr="004D6878">
        <w:rPr>
          <w:sz w:val="21"/>
          <w:szCs w:val="21"/>
        </w:rPr>
        <w:t>között, tetszés szerint választott túra útvonalon. „Éjszakai pont” kapu</w:t>
      </w:r>
      <w:r w:rsidR="00FA084D" w:rsidRPr="004D6878">
        <w:rPr>
          <w:sz w:val="21"/>
          <w:szCs w:val="21"/>
        </w:rPr>
        <w:t>t megadott a</w:t>
      </w:r>
      <w:r w:rsidRPr="004D6878">
        <w:rPr>
          <w:sz w:val="21"/>
          <w:szCs w:val="21"/>
        </w:rPr>
        <w:t xml:space="preserve"> </w:t>
      </w:r>
      <w:bookmarkStart w:id="6" w:name="_Hlk127211556"/>
      <w:r w:rsidRPr="004D6878">
        <w:rPr>
          <w:sz w:val="21"/>
          <w:szCs w:val="21"/>
        </w:rPr>
        <w:t xml:space="preserve">GPS koordináták szerint </w:t>
      </w:r>
      <w:bookmarkEnd w:id="6"/>
      <w:r w:rsidRPr="004D6878">
        <w:rPr>
          <w:sz w:val="21"/>
          <w:szCs w:val="21"/>
        </w:rPr>
        <w:t xml:space="preserve">kell a pontot megközelíteni. </w:t>
      </w:r>
    </w:p>
    <w:p w14:paraId="378B8F15" w14:textId="77777777" w:rsidR="00AC5E86" w:rsidRPr="004D6878" w:rsidRDefault="00806A71" w:rsidP="00AC5E86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Pályarövidítés és pályamódosítás nem lehetséges. Ez módosítja az RRS 32. és 33. szabályt. </w:t>
      </w:r>
    </w:p>
    <w:p w14:paraId="1D50E852" w14:textId="4EDC0169" w:rsidR="00AC5E86" w:rsidRPr="004D6878" w:rsidRDefault="003E5BEC" w:rsidP="003E5BEC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A GPS </w:t>
      </w:r>
      <w:r w:rsidR="003F765A" w:rsidRPr="004D6878">
        <w:rPr>
          <w:sz w:val="21"/>
          <w:szCs w:val="21"/>
        </w:rPr>
        <w:t>koordinátákat</w:t>
      </w:r>
      <w:r w:rsidRPr="004D6878">
        <w:rPr>
          <w:sz w:val="21"/>
          <w:szCs w:val="21"/>
        </w:rPr>
        <w:t xml:space="preserve"> és a Csillagtúra számítását a Versenyutasítás tartalmazza. </w:t>
      </w:r>
    </w:p>
    <w:p w14:paraId="06D130D0" w14:textId="035D90E0" w:rsidR="00964CF5" w:rsidRPr="004D6878" w:rsidRDefault="00964CF5" w:rsidP="00806A71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ÉRTÉKELÉS</w:t>
      </w:r>
    </w:p>
    <w:p w14:paraId="224A62BF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Értékelésre kerül:</w:t>
      </w:r>
    </w:p>
    <w:p w14:paraId="1ABB024B" w14:textId="10CB67BA" w:rsidR="00964CF5" w:rsidRPr="004D6878" w:rsidRDefault="00964CF5" w:rsidP="00964CF5">
      <w:pPr>
        <w:pStyle w:val="Cmsor3"/>
        <w:keepNext w:val="0"/>
        <w:keepLines w:val="0"/>
        <w:jc w:val="both"/>
        <w:rPr>
          <w:rFonts w:ascii="DINPro" w:hAnsi="DINPro" w:cs="DINPro"/>
          <w:color w:val="auto"/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valamennyi önálló hajóosztály a </w:t>
      </w:r>
      <w:r w:rsidR="003F765A" w:rsidRPr="004D6878">
        <w:rPr>
          <w:rFonts w:ascii="DINPro" w:hAnsi="DINPro" w:cs="DINPro"/>
          <w:color w:val="auto"/>
          <w:sz w:val="21"/>
          <w:szCs w:val="21"/>
        </w:rPr>
        <w:t xml:space="preserve">Csillagtúra számításának </w:t>
      </w:r>
      <w:r w:rsidRPr="004D6878">
        <w:rPr>
          <w:rFonts w:ascii="DINPro" w:hAnsi="DINPro" w:cs="DINPro"/>
          <w:color w:val="auto"/>
          <w:sz w:val="21"/>
          <w:szCs w:val="21"/>
        </w:rPr>
        <w:t>sorrend</w:t>
      </w:r>
      <w:r w:rsidR="003F765A" w:rsidRPr="004D6878">
        <w:rPr>
          <w:rFonts w:ascii="DINPro" w:hAnsi="DINPro" w:cs="DINPro"/>
          <w:color w:val="auto"/>
          <w:sz w:val="21"/>
          <w:szCs w:val="21"/>
        </w:rPr>
        <w:t>je</w:t>
      </w:r>
      <w:r w:rsidRPr="004D6878">
        <w:rPr>
          <w:rFonts w:ascii="DINPro" w:hAnsi="DINPro" w:cs="DINPro"/>
          <w:color w:val="auto"/>
          <w:sz w:val="21"/>
          <w:szCs w:val="21"/>
        </w:rPr>
        <w:t xml:space="preserve"> alapján,</w:t>
      </w:r>
    </w:p>
    <w:p w14:paraId="4911ED97" w14:textId="32D33531" w:rsidR="00964CF5" w:rsidRPr="004D6878" w:rsidRDefault="00964CF5" w:rsidP="001A5B8D">
      <w:pPr>
        <w:pStyle w:val="Cmsor3"/>
        <w:keepNext w:val="0"/>
        <w:keepLines w:val="0"/>
        <w:jc w:val="both"/>
        <w:rPr>
          <w:sz w:val="21"/>
          <w:szCs w:val="21"/>
        </w:rPr>
      </w:pPr>
      <w:r w:rsidRPr="004D6878">
        <w:rPr>
          <w:rFonts w:ascii="DINPro" w:hAnsi="DINPro" w:cs="DINPro"/>
          <w:color w:val="auto"/>
          <w:sz w:val="21"/>
          <w:szCs w:val="21"/>
        </w:rPr>
        <w:t xml:space="preserve">a </w:t>
      </w:r>
      <w:proofErr w:type="spellStart"/>
      <w:r w:rsidRPr="004D6878">
        <w:rPr>
          <w:rFonts w:ascii="DINPro" w:hAnsi="DINPro" w:cs="DINPro"/>
          <w:color w:val="auto"/>
          <w:sz w:val="21"/>
          <w:szCs w:val="21"/>
        </w:rPr>
        <w:t>Yardstick</w:t>
      </w:r>
      <w:proofErr w:type="spellEnd"/>
      <w:r w:rsidRPr="004D6878">
        <w:rPr>
          <w:rFonts w:ascii="DINPro" w:hAnsi="DINPro" w:cs="DINPro"/>
          <w:color w:val="auto"/>
          <w:sz w:val="21"/>
          <w:szCs w:val="21"/>
        </w:rPr>
        <w:t xml:space="preserve"> és ORC </w:t>
      </w:r>
      <w:r w:rsidR="00ED73FF" w:rsidRPr="004D6878">
        <w:rPr>
          <w:rFonts w:ascii="DINPro" w:hAnsi="DINPro" w:cs="DINPro"/>
          <w:color w:val="auto"/>
          <w:sz w:val="21"/>
          <w:szCs w:val="21"/>
        </w:rPr>
        <w:t>értékelési csoportok és a</w:t>
      </w:r>
      <w:r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proofErr w:type="spellStart"/>
      <w:r w:rsidRPr="004D6878">
        <w:rPr>
          <w:rFonts w:ascii="DINPro" w:hAnsi="DINPro" w:cs="DINPro"/>
          <w:color w:val="auto"/>
          <w:sz w:val="21"/>
          <w:szCs w:val="21"/>
        </w:rPr>
        <w:t>Yardstick</w:t>
      </w:r>
      <w:proofErr w:type="spellEnd"/>
      <w:r w:rsidRPr="004D6878">
        <w:rPr>
          <w:rFonts w:ascii="DINPro" w:hAnsi="DINPro" w:cs="DINPro"/>
          <w:color w:val="auto"/>
          <w:sz w:val="21"/>
          <w:szCs w:val="21"/>
        </w:rPr>
        <w:t xml:space="preserve"> Open</w:t>
      </w:r>
      <w:r w:rsidR="001A5B8D"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="003F765A" w:rsidRPr="004D6878">
        <w:rPr>
          <w:rFonts w:ascii="DINPro" w:hAnsi="DINPro" w:cs="DINPro"/>
          <w:color w:val="auto"/>
          <w:sz w:val="21"/>
          <w:szCs w:val="21"/>
        </w:rPr>
        <w:t>a Csillagtúra számításának sorrendje alapján</w:t>
      </w:r>
      <w:r w:rsidR="00BB2CD9" w:rsidRPr="004D6878">
        <w:rPr>
          <w:rFonts w:ascii="DINPro" w:hAnsi="DINPro" w:cs="DINPro"/>
          <w:color w:val="auto"/>
          <w:sz w:val="21"/>
          <w:szCs w:val="21"/>
        </w:rPr>
        <w:t>, befutási sorrendben, előnyszám számítás nélkül kerül meghatározásra</w:t>
      </w:r>
      <w:r w:rsidR="00FA084D" w:rsidRPr="004D6878">
        <w:rPr>
          <w:rFonts w:ascii="DINPro" w:hAnsi="DINPro" w:cs="DINPro"/>
          <w:color w:val="auto"/>
          <w:sz w:val="21"/>
          <w:szCs w:val="21"/>
        </w:rPr>
        <w:t>,</w:t>
      </w:r>
      <w:r w:rsidR="00C572E7" w:rsidRPr="004D6878">
        <w:rPr>
          <w:rFonts w:ascii="DINPro" w:hAnsi="DINPro" w:cs="DINPro"/>
          <w:color w:val="auto"/>
          <w:sz w:val="21"/>
          <w:szCs w:val="21"/>
        </w:rPr>
        <w:t xml:space="preserve"> </w:t>
      </w:r>
      <w:r w:rsidR="00FA084D" w:rsidRPr="004D6878">
        <w:rPr>
          <w:rFonts w:ascii="DINPro" w:hAnsi="DINPro" w:cs="DINPro"/>
          <w:color w:val="auto"/>
          <w:sz w:val="21"/>
          <w:szCs w:val="21"/>
        </w:rPr>
        <w:t>a</w:t>
      </w:r>
      <w:r w:rsidR="00C572E7" w:rsidRPr="004D6878">
        <w:rPr>
          <w:rFonts w:ascii="DINPro" w:hAnsi="DINPro" w:cs="DINPro"/>
          <w:color w:val="auto"/>
          <w:sz w:val="21"/>
          <w:szCs w:val="21"/>
        </w:rPr>
        <w:t xml:space="preserve">bszolút befutási sorrend alapján. </w:t>
      </w:r>
    </w:p>
    <w:p w14:paraId="2BB9A83D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KÍSÉRŐ MOTOROSOK</w:t>
      </w:r>
    </w:p>
    <w:p w14:paraId="0C77FF09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kísérő motorosnak rendelkeznie kell az általános segélyhívásra és a versenyrendezőséggel való kapcsolattartásra alkalmas (Digitális Balatrönk2 és VHF) rádióval és mobiltelefonnal, amelyen a rendező a verseny teljes időtartama alatt ellenőrizheti a kísérő motorosokat. Amennyiben nem megfelelő a tevékenységük, ez az általuk biztosított egység kizárását vonhatja maga után.</w:t>
      </w:r>
    </w:p>
    <w:p w14:paraId="727FABB2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ADATVÉDELEM</w:t>
      </w:r>
    </w:p>
    <w:p w14:paraId="187C36BF" w14:textId="508F73F9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A versenyen a Magyar Vitorlás Szövetség Adatvédelmi szabályzata és az érintett személyekre vonatkozó adatvédelmi tájékoztatók vannak érvényben, melyek elérhetők a </w:t>
      </w:r>
      <w:hyperlink r:id="rId12" w:history="1">
        <w:r w:rsidRPr="004D6878">
          <w:rPr>
            <w:rStyle w:val="Hiperhivatkozs"/>
            <w:rFonts w:cs="DINPro"/>
            <w:sz w:val="21"/>
            <w:szCs w:val="21"/>
          </w:rPr>
          <w:t>www.hunsail.hu</w:t>
        </w:r>
      </w:hyperlink>
      <w:r w:rsidRPr="004D6878">
        <w:rPr>
          <w:sz w:val="21"/>
          <w:szCs w:val="21"/>
        </w:rPr>
        <w:t>-n, a Magyar Vitorlás Szövetség hivatalos honlapján.</w:t>
      </w:r>
    </w:p>
    <w:p w14:paraId="704CF761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Versenyzők a nevezésükkel tudomásul veszik, hogy a versenyről, a versenyre történő ki- és behajózásról és a parti programokról film- és fotófelvételek készülhetnek, amelyeken a hajók, illetve a hajón tartózkodó személyek látszódhatnak. Ezeket a fotókat, illetve filmfelvételeket – amennyiben nem sértik a személyiségi jogokat – a Versenyrendezőség korlátlanul felhasználhatja, nyilvánosságra hozhatja, értékesítheti, illetve továbbadhatja harmadik személynek.</w:t>
      </w:r>
    </w:p>
    <w:p w14:paraId="53BB34B4" w14:textId="4B59CAF3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Nevezők elfogadják, hogy </w:t>
      </w:r>
      <w:r w:rsidR="00FA084D" w:rsidRPr="004D6878">
        <w:rPr>
          <w:sz w:val="21"/>
          <w:szCs w:val="21"/>
        </w:rPr>
        <w:t xml:space="preserve">az MVSZ Kékszalag </w:t>
      </w:r>
      <w:r w:rsidR="004B38B4" w:rsidRPr="004D6878">
        <w:rPr>
          <w:sz w:val="21"/>
          <w:szCs w:val="21"/>
        </w:rPr>
        <w:t>kikötő</w:t>
      </w:r>
      <w:r w:rsidRPr="004D6878">
        <w:rPr>
          <w:sz w:val="21"/>
          <w:szCs w:val="21"/>
        </w:rPr>
        <w:t xml:space="preserve"> nevezés során a helyszínen működő biztonsági kamerák is felvételt készíthetnek róluk. A nevezők és résztvevők ezzel kapcsolatban mindennemű utólagos követelésről, vagy kártérítési igényükről kifejezetten lemondanak.</w:t>
      </w:r>
    </w:p>
    <w:p w14:paraId="4FE1CFF5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SZAVATOSSÁG KIZÁRÁSA</w:t>
      </w:r>
    </w:p>
    <w:p w14:paraId="24F3B96E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hajók legénységei teljes egészében maguk felelnek biztonságukért, mind a rendezvény szárazföldi eseményein, mind a vízen, és ezt a felelősséget sem a jelen Versenykiírás, sem a Versenyutasítás, sem bármilyen egyéb rendelkezés nem korlátozza. Minden hajó felelős személye, illetve legénysége maga dönt arról, hogy a hajó, illetve a legénység képzettsége alkalmas-e az adott időjárási viszonyok között a versenyen való részvételre. Lásd az RRS 3. szabályt, Döntés a versenyen való részvételről. Azzal, hogy a hajó kihajózik a kikötőből megerősíti, hogy mind a hajó, mind pedig a legénység alkalmas az adott időjárási viszonyok közötti versenyzésre.</w:t>
      </w:r>
    </w:p>
    <w:p w14:paraId="351D791E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vonatkozó jogszabályok által megengedett keretek között a versenyen való részvétellel kapcsolatban vagy annak folyamán előforduló személyi sérülésekért vagy halálesetért és vagyoni károkért, veszteségekért a versenyt rendező szervezet, annak munkavállalói, tisztségviselői, illetve megbízottjai és alvállalkozói semmilyen felelősséget nem vállalnak. A résztvevők versenyengedélyének, sportorvosi igazolásának, illetve a hajók biztosításának és a biztonsági előírások betartásának ellenőrzése – a versenyrendezőség, a rendező szervezet, az Óvási vagy a Technikai bizottság által – a sportszerű versenyzés célját szolgálja, és nem mentesíti a résztvevőket a vonatkozó szabályoknak a résztvevők saját felelősségi körükben történő követése alól.</w:t>
      </w:r>
    </w:p>
    <w:p w14:paraId="46BC4AAA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versenyre való nevezéssel a hajó felelős személye kijelenti, hogy a versenyre és a vízi közlekedésre vonatkozó szabályokat és előírásokat ismeri, azokat tudomásul vette, betartja és a felelősségi körébe tartozó személyekkel ezeket ismerteti, illetve az esemény teljes időtartama alatt mind a vízen, mind a szárazföldön betartatja.</w:t>
      </w:r>
    </w:p>
    <w:p w14:paraId="408942A2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versenyen minden résztvevő a saját felelősségére vitorlázik!</w:t>
      </w:r>
    </w:p>
    <w:p w14:paraId="6CCE29C0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lastRenderedPageBreak/>
        <w:t>BIZTOSÍTÁS</w:t>
      </w:r>
    </w:p>
    <w:p w14:paraId="3C248FFB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Minden hajónak rendelkeznie kell a Versenyrendelkezésben előírt értékű felelősségbiztosítással.</w:t>
      </w:r>
    </w:p>
    <w:p w14:paraId="61B452F1" w14:textId="77777777" w:rsidR="00964CF5" w:rsidRPr="004D6878" w:rsidRDefault="00964CF5" w:rsidP="00964CF5">
      <w:pPr>
        <w:pStyle w:val="Cmsor1"/>
        <w:rPr>
          <w:color w:val="FF9900"/>
          <w:sz w:val="21"/>
          <w:szCs w:val="21"/>
        </w:rPr>
      </w:pPr>
      <w:r w:rsidRPr="004D6878">
        <w:rPr>
          <w:color w:val="FF9900"/>
          <w:sz w:val="21"/>
          <w:szCs w:val="21"/>
        </w:rPr>
        <w:t>DÍJAZÁS</w:t>
      </w:r>
    </w:p>
    <w:p w14:paraId="5DDEE1AF" w14:textId="2F15E4C7" w:rsidR="00964CF5" w:rsidRPr="004D6878" w:rsidRDefault="003B26D4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 xml:space="preserve">Abszolút </w:t>
      </w:r>
      <w:r w:rsidR="00964CF5" w:rsidRPr="004D6878">
        <w:rPr>
          <w:sz w:val="21"/>
          <w:szCs w:val="21"/>
        </w:rPr>
        <w:t xml:space="preserve">első hajó serleg, </w:t>
      </w:r>
      <w:r w:rsidR="00942899" w:rsidRPr="004D6878">
        <w:rPr>
          <w:sz w:val="21"/>
          <w:szCs w:val="21"/>
        </w:rPr>
        <w:t>Osztályonként</w:t>
      </w:r>
      <w:r w:rsidRPr="004D6878">
        <w:rPr>
          <w:sz w:val="21"/>
          <w:szCs w:val="21"/>
        </w:rPr>
        <w:t xml:space="preserve"> és értékelési csoportonként </w:t>
      </w:r>
      <w:r w:rsidR="00964CF5" w:rsidRPr="004D6878">
        <w:rPr>
          <w:sz w:val="21"/>
          <w:szCs w:val="21"/>
        </w:rPr>
        <w:t>az első három hajó versenyzői éremdíjazásban részesülnek.</w:t>
      </w:r>
    </w:p>
    <w:p w14:paraId="4A84D343" w14:textId="77777777" w:rsidR="00964CF5" w:rsidRPr="004D6878" w:rsidRDefault="00964CF5" w:rsidP="00964CF5">
      <w:pPr>
        <w:pStyle w:val="Cmsor2"/>
        <w:rPr>
          <w:sz w:val="21"/>
          <w:szCs w:val="21"/>
        </w:rPr>
      </w:pPr>
      <w:r w:rsidRPr="004D6878">
        <w:rPr>
          <w:sz w:val="21"/>
          <w:szCs w:val="21"/>
        </w:rPr>
        <w:t>A díjkiosztó ünnepség helyszínét és időpontját a hivatalos hirdetőtáblán közli a Versenyrendezőség.</w:t>
      </w:r>
    </w:p>
    <w:p w14:paraId="64A97F43" w14:textId="77777777" w:rsidR="00964CF5" w:rsidRPr="007D5D31" w:rsidRDefault="00964CF5" w:rsidP="00964CF5">
      <w:pPr>
        <w:spacing w:before="360"/>
        <w:ind w:left="567" w:hanging="567"/>
        <w:jc w:val="right"/>
        <w:rPr>
          <w:rFonts w:ascii="DINPro" w:hAnsi="DINPro" w:cs="DINPro"/>
          <w:b/>
          <w:i/>
          <w:color w:val="FF9900"/>
          <w:sz w:val="21"/>
          <w:szCs w:val="21"/>
        </w:rPr>
      </w:pPr>
      <w:r w:rsidRPr="004D6878">
        <w:rPr>
          <w:rFonts w:ascii="DINPro" w:hAnsi="DINPro" w:cs="DINPro"/>
          <w:b/>
          <w:i/>
          <w:color w:val="FF9900"/>
          <w:sz w:val="21"/>
          <w:szCs w:val="21"/>
        </w:rPr>
        <w:t>Jó szelet kíván a Versenyrendezőség!</w:t>
      </w:r>
    </w:p>
    <w:p w14:paraId="44633DDC" w14:textId="77777777" w:rsidR="00DF2119" w:rsidRDefault="00DF2119"/>
    <w:sectPr w:rsidR="00DF2119" w:rsidSect="005F3FA8">
      <w:pgSz w:w="11906" w:h="16838" w:code="9"/>
      <w:pgMar w:top="1134" w:right="851" w:bottom="70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4E33"/>
    <w:multiLevelType w:val="hybridMultilevel"/>
    <w:tmpl w:val="7E0ABD66"/>
    <w:lvl w:ilvl="0" w:tplc="A40C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0ADD6CB7"/>
    <w:multiLevelType w:val="hybridMultilevel"/>
    <w:tmpl w:val="ED440E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C5F"/>
    <w:multiLevelType w:val="hybridMultilevel"/>
    <w:tmpl w:val="2BFCD07E"/>
    <w:lvl w:ilvl="0" w:tplc="A40C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54A204EE"/>
    <w:multiLevelType w:val="hybridMultilevel"/>
    <w:tmpl w:val="AFE0B3B4"/>
    <w:lvl w:ilvl="0" w:tplc="81DA2506">
      <w:start w:val="1"/>
      <w:numFmt w:val="bullet"/>
      <w:lvlText w:val=""/>
      <w:lvlJc w:val="left"/>
      <w:pPr>
        <w:tabs>
          <w:tab w:val="num" w:pos="1296"/>
        </w:tabs>
        <w:ind w:left="2734" w:hanging="360"/>
      </w:pPr>
      <w:rPr>
        <w:rFonts w:ascii="Symbol" w:hAnsi="Symbol" w:hint="default"/>
        <w:color w:val="FF9900"/>
      </w:rPr>
    </w:lvl>
    <w:lvl w:ilvl="1" w:tplc="040E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7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494" w:hanging="360"/>
      </w:pPr>
      <w:rPr>
        <w:rFonts w:ascii="Wingdings" w:hAnsi="Wingdings" w:hint="default"/>
      </w:rPr>
    </w:lvl>
  </w:abstractNum>
  <w:abstractNum w:abstractNumId="4" w15:restartNumberingAfterBreak="0">
    <w:nsid w:val="604634C1"/>
    <w:multiLevelType w:val="hybridMultilevel"/>
    <w:tmpl w:val="0366E230"/>
    <w:lvl w:ilvl="0" w:tplc="A40CD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617C2E3C"/>
    <w:multiLevelType w:val="hybridMultilevel"/>
    <w:tmpl w:val="C2F6F164"/>
    <w:lvl w:ilvl="0" w:tplc="81DA2506">
      <w:start w:val="1"/>
      <w:numFmt w:val="bullet"/>
      <w:lvlText w:val=""/>
      <w:lvlJc w:val="left"/>
      <w:pPr>
        <w:tabs>
          <w:tab w:val="num" w:pos="0"/>
        </w:tabs>
        <w:ind w:left="1438" w:hanging="360"/>
      </w:pPr>
      <w:rPr>
        <w:rFonts w:ascii="Symbol" w:hAnsi="Symbol" w:hint="default"/>
        <w:color w:val="FF9900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699A0605"/>
    <w:multiLevelType w:val="multilevel"/>
    <w:tmpl w:val="B3181B48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ascii="DINPro" w:hAnsi="DINPro" w:cs="DINPro" w:hint="default"/>
        <w:color w:val="auto"/>
        <w:sz w:val="22"/>
        <w:szCs w:val="22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cs="Times New Roman"/>
        <w:sz w:val="21"/>
        <w:szCs w:val="21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6072FF3"/>
    <w:multiLevelType w:val="multilevel"/>
    <w:tmpl w:val="76482CC6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576" w:hanging="576"/>
      </w:pPr>
      <w:rPr>
        <w:rFonts w:ascii="Wingdings" w:hAnsi="Wingdings" w:hint="default"/>
        <w:color w:val="FF99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num w:numId="1" w16cid:durableId="732242774">
    <w:abstractNumId w:val="7"/>
  </w:num>
  <w:num w:numId="2" w16cid:durableId="58983607">
    <w:abstractNumId w:val="6"/>
  </w:num>
  <w:num w:numId="3" w16cid:durableId="486635578">
    <w:abstractNumId w:val="4"/>
  </w:num>
  <w:num w:numId="4" w16cid:durableId="1861627877">
    <w:abstractNumId w:val="0"/>
  </w:num>
  <w:num w:numId="5" w16cid:durableId="342586009">
    <w:abstractNumId w:val="2"/>
  </w:num>
  <w:num w:numId="6" w16cid:durableId="9070021">
    <w:abstractNumId w:val="3"/>
  </w:num>
  <w:num w:numId="7" w16cid:durableId="610402898">
    <w:abstractNumId w:val="5"/>
  </w:num>
  <w:num w:numId="8" w16cid:durableId="243150920">
    <w:abstractNumId w:val="6"/>
  </w:num>
  <w:num w:numId="9" w16cid:durableId="1358889330">
    <w:abstractNumId w:val="6"/>
  </w:num>
  <w:num w:numId="10" w16cid:durableId="1561403642">
    <w:abstractNumId w:val="6"/>
  </w:num>
  <w:num w:numId="11" w16cid:durableId="1698969975">
    <w:abstractNumId w:val="6"/>
  </w:num>
  <w:num w:numId="12" w16cid:durableId="1143696920">
    <w:abstractNumId w:val="6"/>
  </w:num>
  <w:num w:numId="13" w16cid:durableId="658078197">
    <w:abstractNumId w:val="6"/>
  </w:num>
  <w:num w:numId="14" w16cid:durableId="1405108350">
    <w:abstractNumId w:val="6"/>
  </w:num>
  <w:num w:numId="15" w16cid:durableId="627971518">
    <w:abstractNumId w:val="6"/>
  </w:num>
  <w:num w:numId="16" w16cid:durableId="380204324">
    <w:abstractNumId w:val="6"/>
  </w:num>
  <w:num w:numId="17" w16cid:durableId="121313190">
    <w:abstractNumId w:val="6"/>
  </w:num>
  <w:num w:numId="18" w16cid:durableId="121557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F5"/>
    <w:rsid w:val="00014B26"/>
    <w:rsid w:val="00057F22"/>
    <w:rsid w:val="000C43B6"/>
    <w:rsid w:val="000D3BA6"/>
    <w:rsid w:val="000E458B"/>
    <w:rsid w:val="000E55C3"/>
    <w:rsid w:val="000F0ACB"/>
    <w:rsid w:val="001A5B8D"/>
    <w:rsid w:val="00206202"/>
    <w:rsid w:val="002112BC"/>
    <w:rsid w:val="00220875"/>
    <w:rsid w:val="00255FEA"/>
    <w:rsid w:val="00263CD2"/>
    <w:rsid w:val="002C04C4"/>
    <w:rsid w:val="002C62C2"/>
    <w:rsid w:val="002C7AD2"/>
    <w:rsid w:val="002D2215"/>
    <w:rsid w:val="00310564"/>
    <w:rsid w:val="00337D2E"/>
    <w:rsid w:val="00347BAC"/>
    <w:rsid w:val="003542E6"/>
    <w:rsid w:val="003976D9"/>
    <w:rsid w:val="003B26D4"/>
    <w:rsid w:val="003E5BEC"/>
    <w:rsid w:val="003F765A"/>
    <w:rsid w:val="004470FE"/>
    <w:rsid w:val="004570B4"/>
    <w:rsid w:val="0046639A"/>
    <w:rsid w:val="00473251"/>
    <w:rsid w:val="00481E06"/>
    <w:rsid w:val="004B38B4"/>
    <w:rsid w:val="004B4ED9"/>
    <w:rsid w:val="004D6878"/>
    <w:rsid w:val="00532FD6"/>
    <w:rsid w:val="00533383"/>
    <w:rsid w:val="00540561"/>
    <w:rsid w:val="005604D6"/>
    <w:rsid w:val="00572101"/>
    <w:rsid w:val="00587A57"/>
    <w:rsid w:val="00596EA4"/>
    <w:rsid w:val="005B46DF"/>
    <w:rsid w:val="005C0452"/>
    <w:rsid w:val="005F3FA8"/>
    <w:rsid w:val="00634F50"/>
    <w:rsid w:val="006841A3"/>
    <w:rsid w:val="006C25B8"/>
    <w:rsid w:val="006D4D88"/>
    <w:rsid w:val="00700813"/>
    <w:rsid w:val="00714D2F"/>
    <w:rsid w:val="00746853"/>
    <w:rsid w:val="00753E26"/>
    <w:rsid w:val="007739F4"/>
    <w:rsid w:val="0078471F"/>
    <w:rsid w:val="007B002E"/>
    <w:rsid w:val="007B64D6"/>
    <w:rsid w:val="007C4640"/>
    <w:rsid w:val="00806A71"/>
    <w:rsid w:val="00815A82"/>
    <w:rsid w:val="00815ED9"/>
    <w:rsid w:val="00816EB5"/>
    <w:rsid w:val="00823125"/>
    <w:rsid w:val="00831929"/>
    <w:rsid w:val="00832C24"/>
    <w:rsid w:val="00835C75"/>
    <w:rsid w:val="008844F2"/>
    <w:rsid w:val="0089623A"/>
    <w:rsid w:val="008D52D0"/>
    <w:rsid w:val="008E087D"/>
    <w:rsid w:val="00917C79"/>
    <w:rsid w:val="00937556"/>
    <w:rsid w:val="00942899"/>
    <w:rsid w:val="00946149"/>
    <w:rsid w:val="00964CF5"/>
    <w:rsid w:val="00975981"/>
    <w:rsid w:val="00982861"/>
    <w:rsid w:val="009B2FB9"/>
    <w:rsid w:val="009B509E"/>
    <w:rsid w:val="009D3E52"/>
    <w:rsid w:val="00A0674E"/>
    <w:rsid w:val="00A40EC6"/>
    <w:rsid w:val="00A70536"/>
    <w:rsid w:val="00A71255"/>
    <w:rsid w:val="00AC5E86"/>
    <w:rsid w:val="00AD517F"/>
    <w:rsid w:val="00AE280C"/>
    <w:rsid w:val="00AE48A7"/>
    <w:rsid w:val="00B10571"/>
    <w:rsid w:val="00B70709"/>
    <w:rsid w:val="00BB060B"/>
    <w:rsid w:val="00BB2CD9"/>
    <w:rsid w:val="00BD65AF"/>
    <w:rsid w:val="00C142CD"/>
    <w:rsid w:val="00C24F39"/>
    <w:rsid w:val="00C572E7"/>
    <w:rsid w:val="00C870DE"/>
    <w:rsid w:val="00C951A4"/>
    <w:rsid w:val="00CB2174"/>
    <w:rsid w:val="00CC5EA4"/>
    <w:rsid w:val="00CD23D8"/>
    <w:rsid w:val="00CE2476"/>
    <w:rsid w:val="00D14C76"/>
    <w:rsid w:val="00D65FCF"/>
    <w:rsid w:val="00DC7DD7"/>
    <w:rsid w:val="00DD543C"/>
    <w:rsid w:val="00DE699E"/>
    <w:rsid w:val="00DF2119"/>
    <w:rsid w:val="00E3050C"/>
    <w:rsid w:val="00E36AC4"/>
    <w:rsid w:val="00E85014"/>
    <w:rsid w:val="00E915D8"/>
    <w:rsid w:val="00EB00DF"/>
    <w:rsid w:val="00ED093A"/>
    <w:rsid w:val="00ED2CDF"/>
    <w:rsid w:val="00ED73FF"/>
    <w:rsid w:val="00F03052"/>
    <w:rsid w:val="00F7758C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2A064"/>
  <w15:chartTrackingRefBased/>
  <w15:docId w15:val="{C936CA69-0F14-4548-8D62-36A51E2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4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64CF5"/>
    <w:pPr>
      <w:keepNext/>
      <w:numPr>
        <w:numId w:val="2"/>
      </w:numPr>
      <w:spacing w:before="160" w:after="120"/>
      <w:jc w:val="both"/>
      <w:outlineLvl w:val="0"/>
    </w:pPr>
    <w:rPr>
      <w:rFonts w:ascii="DINPro" w:hAnsi="DINPro" w:cs="DINPro"/>
      <w:b/>
      <w:color w:val="BA2441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964CF5"/>
    <w:pPr>
      <w:numPr>
        <w:ilvl w:val="1"/>
        <w:numId w:val="2"/>
      </w:numPr>
      <w:spacing w:before="40"/>
      <w:jc w:val="both"/>
      <w:outlineLvl w:val="1"/>
    </w:pPr>
    <w:rPr>
      <w:rFonts w:ascii="DINPro" w:hAnsi="DINPro" w:cs="DINPro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964CF5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964CF5"/>
    <w:pPr>
      <w:keepNext/>
      <w:numPr>
        <w:ilvl w:val="3"/>
        <w:numId w:val="2"/>
      </w:numPr>
      <w:jc w:val="center"/>
      <w:outlineLvl w:val="3"/>
    </w:pPr>
    <w:rPr>
      <w:rFonts w:ascii="Calibri" w:hAnsi="Calibri"/>
      <w:b/>
      <w:bCs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964CF5"/>
    <w:pPr>
      <w:keepNext/>
      <w:numPr>
        <w:ilvl w:val="4"/>
        <w:numId w:val="2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964CF5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964CF5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Cmsor8">
    <w:name w:val="heading 8"/>
    <w:basedOn w:val="Norml"/>
    <w:next w:val="Norml"/>
    <w:link w:val="Cmsor8Char"/>
    <w:uiPriority w:val="99"/>
    <w:qFormat/>
    <w:rsid w:val="00964CF5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9"/>
    <w:qFormat/>
    <w:rsid w:val="00964CF5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64CF5"/>
    <w:rPr>
      <w:rFonts w:ascii="DINPro" w:eastAsia="Times New Roman" w:hAnsi="DINPro" w:cs="DINPro"/>
      <w:b/>
      <w:color w:val="BA2441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64CF5"/>
    <w:rPr>
      <w:rFonts w:ascii="DINPro" w:eastAsia="Times New Roman" w:hAnsi="DINPro" w:cs="DINPro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64CF5"/>
    <w:rPr>
      <w:rFonts w:ascii="Cambria" w:eastAsia="Times New Roman" w:hAnsi="Cambria" w:cs="Times New Roman"/>
      <w:color w:val="243F6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64CF5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64CF5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964CF5"/>
    <w:rPr>
      <w:rFonts w:ascii="Cambria" w:eastAsia="Times New Roman" w:hAnsi="Cambria" w:cs="Times New Roman"/>
      <w:color w:val="243F60"/>
      <w:sz w:val="2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64CF5"/>
    <w:rPr>
      <w:rFonts w:ascii="Cambria" w:eastAsia="Times New Roman" w:hAnsi="Cambria" w:cs="Times New Roman"/>
      <w:i/>
      <w:iCs/>
      <w:color w:val="243F60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964CF5"/>
    <w:rPr>
      <w:rFonts w:ascii="Cambria" w:eastAsia="Times New Roman" w:hAnsi="Cambria" w:cs="Times New Roman"/>
      <w:color w:val="272727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964CF5"/>
    <w:rPr>
      <w:rFonts w:ascii="Cambria" w:eastAsia="Times New Roman" w:hAnsi="Cambria" w:cs="Times New Roman"/>
      <w:i/>
      <w:iCs/>
      <w:color w:val="272727"/>
      <w:sz w:val="21"/>
      <w:szCs w:val="21"/>
      <w:lang w:eastAsia="hu-HU"/>
    </w:rPr>
  </w:style>
  <w:style w:type="character" w:styleId="Hiperhivatkozs">
    <w:name w:val="Hyperlink"/>
    <w:basedOn w:val="Bekezdsalapbettpusa"/>
    <w:uiPriority w:val="99"/>
    <w:rsid w:val="00964CF5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1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7210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721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1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10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36AC4"/>
    <w:rPr>
      <w:color w:val="605E5C"/>
      <w:shd w:val="clear" w:color="auto" w:fill="E1DFDD"/>
    </w:rPr>
  </w:style>
  <w:style w:type="paragraph" w:customStyle="1" w:styleId="Default">
    <w:name w:val="Default"/>
    <w:rsid w:val="00AE2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6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ervezes@csillagtura.hu" TargetMode="External"/><Relationship Id="rId5" Type="http://schemas.openxmlformats.org/officeDocument/2006/relationships/styles" Target="styles.xml"/><Relationship Id="rId10" Type="http://schemas.openxmlformats.org/officeDocument/2006/relationships/hyperlink" Target="https://mvszhirdetotabla.hu/43-csillagtura-2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vszhirdetotabla.hu/43-csillagtura-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6" ma:contentTypeDescription="Új dokumentum létrehozása." ma:contentTypeScope="" ma:versionID="8522a096ecfbe403c839917afbe61812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bae06c8337a3b26671ec41f6c2c8c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2EDE7C77-2749-4254-87A3-97A8E8D6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4E3E9-843E-4525-A89F-C01B025E1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2926C-5FB3-4A49-8C6E-5314AF58D801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9190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 Monitoring</dc:creator>
  <cp:keywords/>
  <dc:description/>
  <cp:lastModifiedBy>Sándor Lampert</cp:lastModifiedBy>
  <cp:revision>2</cp:revision>
  <cp:lastPrinted>2023-03-11T16:37:00Z</cp:lastPrinted>
  <dcterms:created xsi:type="dcterms:W3CDTF">2024-05-23T13:05:00Z</dcterms:created>
  <dcterms:modified xsi:type="dcterms:W3CDTF">2024-05-23T13:05:00Z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0x0101001F5B7AC78EC3F043A6F485B6CE65F1E8</vt:lpwstr>
  </property>
  <property fmtid="{D5CDD505-2E9C-101B-9397-08002B2CF9AE}" pid="3" name="MediaServiceImageTags">
    <vt:lpwstr/>
  </property>
</Properties>
</file>